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D48" w:rsidRDefault="00325D48" w:rsidP="00325D48">
      <w:pPr>
        <w:spacing w:after="0"/>
        <w:jc w:val="center"/>
        <w:rPr>
          <w:rFonts w:ascii="Arial" w:eastAsia="Times New Roman" w:hAnsi="Arial" w:cs="Arial"/>
          <w:b/>
          <w:bCs/>
          <w:sz w:val="32"/>
          <w:szCs w:val="24"/>
        </w:rPr>
      </w:pPr>
      <w:bookmarkStart w:id="0" w:name="_GoBack"/>
      <w:r w:rsidRPr="00325D48">
        <w:rPr>
          <w:rFonts w:ascii="Arial" w:eastAsia="Times New Roman" w:hAnsi="Arial" w:cs="Arial"/>
          <w:b/>
          <w:bCs/>
          <w:sz w:val="36"/>
          <w:szCs w:val="24"/>
        </w:rPr>
        <w:t>Obligations to Report, Disclose and Prosecute Violations of Campaign Financing Regulations in Nigeria: - Role of the Bar and the Bench</w:t>
      </w:r>
    </w:p>
    <w:bookmarkEnd w:id="0"/>
    <w:p w:rsidR="00325D48" w:rsidRPr="00325D48" w:rsidRDefault="00325D48" w:rsidP="00325D48">
      <w:pPr>
        <w:spacing w:after="0" w:line="360" w:lineRule="auto"/>
        <w:jc w:val="center"/>
        <w:rPr>
          <w:rFonts w:ascii="Arial" w:eastAsia="Times New Roman" w:hAnsi="Arial" w:cs="Arial"/>
          <w:b/>
          <w:sz w:val="24"/>
          <w:szCs w:val="24"/>
        </w:rPr>
      </w:pPr>
      <w:r w:rsidRPr="00325D48">
        <w:rPr>
          <w:rFonts w:ascii="Arial" w:eastAsia="Times New Roman" w:hAnsi="Arial" w:cs="Arial"/>
          <w:b/>
          <w:sz w:val="24"/>
          <w:szCs w:val="24"/>
        </w:rPr>
        <w:t>By</w:t>
      </w:r>
    </w:p>
    <w:p w:rsidR="00325D48" w:rsidRPr="00325D48" w:rsidRDefault="00325D48" w:rsidP="00325D48">
      <w:pPr>
        <w:spacing w:after="0" w:line="360" w:lineRule="auto"/>
        <w:jc w:val="center"/>
        <w:rPr>
          <w:rFonts w:ascii="Arial" w:eastAsia="Times New Roman" w:hAnsi="Arial" w:cs="Arial"/>
          <w:b/>
          <w:sz w:val="24"/>
          <w:szCs w:val="24"/>
        </w:rPr>
      </w:pPr>
      <w:r w:rsidRPr="00325D48">
        <w:rPr>
          <w:rFonts w:ascii="Arial" w:eastAsia="Times New Roman" w:hAnsi="Arial" w:cs="Arial"/>
          <w:b/>
          <w:sz w:val="24"/>
          <w:szCs w:val="24"/>
        </w:rPr>
        <w:t xml:space="preserve">Professor </w:t>
      </w:r>
      <w:proofErr w:type="spellStart"/>
      <w:r w:rsidRPr="00325D48">
        <w:rPr>
          <w:rFonts w:ascii="Arial" w:eastAsia="Times New Roman" w:hAnsi="Arial" w:cs="Arial"/>
          <w:b/>
          <w:sz w:val="24"/>
          <w:szCs w:val="24"/>
        </w:rPr>
        <w:t>Muhammed</w:t>
      </w:r>
      <w:proofErr w:type="spellEnd"/>
      <w:r w:rsidRPr="00325D48">
        <w:rPr>
          <w:rFonts w:ascii="Arial" w:eastAsia="Times New Roman" w:hAnsi="Arial" w:cs="Arial"/>
          <w:b/>
          <w:sz w:val="24"/>
          <w:szCs w:val="24"/>
        </w:rPr>
        <w:t xml:space="preserve"> </w:t>
      </w:r>
      <w:proofErr w:type="spellStart"/>
      <w:r w:rsidRPr="00325D48">
        <w:rPr>
          <w:rFonts w:ascii="Arial" w:eastAsia="Times New Roman" w:hAnsi="Arial" w:cs="Arial"/>
          <w:b/>
          <w:sz w:val="24"/>
          <w:szCs w:val="24"/>
        </w:rPr>
        <w:t>Tawfiq</w:t>
      </w:r>
      <w:proofErr w:type="spellEnd"/>
      <w:r w:rsidRPr="00325D48">
        <w:rPr>
          <w:rFonts w:ascii="Arial" w:eastAsia="Times New Roman" w:hAnsi="Arial" w:cs="Arial"/>
          <w:b/>
          <w:sz w:val="24"/>
          <w:szCs w:val="24"/>
        </w:rPr>
        <w:t xml:space="preserve"> </w:t>
      </w:r>
      <w:proofErr w:type="spellStart"/>
      <w:r w:rsidRPr="00325D48">
        <w:rPr>
          <w:rFonts w:ascii="Arial" w:eastAsia="Times New Roman" w:hAnsi="Arial" w:cs="Arial"/>
          <w:b/>
          <w:sz w:val="24"/>
          <w:szCs w:val="24"/>
        </w:rPr>
        <w:t>Ladan</w:t>
      </w:r>
      <w:proofErr w:type="spellEnd"/>
      <w:r w:rsidRPr="00325D48">
        <w:rPr>
          <w:rFonts w:ascii="Arial" w:eastAsia="Times New Roman" w:hAnsi="Arial" w:cs="Arial"/>
          <w:b/>
          <w:sz w:val="24"/>
          <w:szCs w:val="24"/>
        </w:rPr>
        <w:t>, PhD</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1. Introduction and Constitutional Framework</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The regulation of campaign financing in Nigeria represents a foundational pillar for securing democratic integrity, institutional transparency, and the rule of law. Unmonitored political expenditures invariably lead to corporate capture, systemic public corruption, and the distortion of popular sovereignty.</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The primary architecture governing political financing in Nigeria is anchored in the </w:t>
      </w:r>
      <w:r w:rsidRPr="00325D48">
        <w:rPr>
          <w:rFonts w:ascii="Arial" w:eastAsia="Times New Roman" w:hAnsi="Arial" w:cs="Arial"/>
          <w:b/>
          <w:bCs/>
          <w:sz w:val="24"/>
          <w:szCs w:val="24"/>
        </w:rPr>
        <w:t>Constitution of the Federal Republic of Nigeria 1999 (as amended)</w:t>
      </w:r>
      <w:r w:rsidRPr="00325D48">
        <w:rPr>
          <w:rFonts w:ascii="Arial" w:eastAsia="Times New Roman" w:hAnsi="Arial" w:cs="Arial"/>
          <w:sz w:val="24"/>
          <w:szCs w:val="24"/>
        </w:rPr>
        <w:t xml:space="preserve"> [2]. Section 225 of the Constitution outlines the fundamental operational guidelines for all registered political parties, establishing strict accountability parameters regarding assets, liabilities, and source of funding. Most notably, Section 225(3) institutes a strict constitutional prohibition on foreign financial retention, explicitly barring political parties from holding or retaining funds or assets sent from outside the country [2].</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To </w:t>
      </w:r>
      <w:proofErr w:type="spellStart"/>
      <w:r w:rsidRPr="00325D48">
        <w:rPr>
          <w:rFonts w:ascii="Arial" w:eastAsia="Times New Roman" w:hAnsi="Arial" w:cs="Arial"/>
          <w:sz w:val="24"/>
          <w:szCs w:val="24"/>
        </w:rPr>
        <w:t>operationalise</w:t>
      </w:r>
      <w:proofErr w:type="spellEnd"/>
      <w:r w:rsidRPr="00325D48">
        <w:rPr>
          <w:rFonts w:ascii="Arial" w:eastAsia="Times New Roman" w:hAnsi="Arial" w:cs="Arial"/>
          <w:sz w:val="24"/>
          <w:szCs w:val="24"/>
        </w:rPr>
        <w:t xml:space="preserve"> these constitutional dictates, the National Assembly enacted the </w:t>
      </w:r>
      <w:r w:rsidRPr="00325D48">
        <w:rPr>
          <w:rFonts w:ascii="Arial" w:eastAsia="Times New Roman" w:hAnsi="Arial" w:cs="Arial"/>
          <w:b/>
          <w:bCs/>
          <w:sz w:val="24"/>
          <w:szCs w:val="24"/>
        </w:rPr>
        <w:t>Electoral Act 2026</w:t>
      </w:r>
      <w:r w:rsidRPr="00325D48">
        <w:rPr>
          <w:rFonts w:ascii="Arial" w:eastAsia="Times New Roman" w:hAnsi="Arial" w:cs="Arial"/>
          <w:sz w:val="24"/>
          <w:szCs w:val="24"/>
        </w:rPr>
        <w:t xml:space="preserve">, which officially received presidential assent on </w:t>
      </w:r>
      <w:r w:rsidRPr="00325D48">
        <w:rPr>
          <w:rFonts w:ascii="Arial" w:eastAsia="Times New Roman" w:hAnsi="Arial" w:cs="Arial"/>
          <w:b/>
          <w:bCs/>
          <w:sz w:val="24"/>
          <w:szCs w:val="24"/>
        </w:rPr>
        <w:t>February 18, 2026</w:t>
      </w:r>
      <w:r w:rsidRPr="00325D48">
        <w:rPr>
          <w:rFonts w:ascii="Arial" w:eastAsia="Times New Roman" w:hAnsi="Arial" w:cs="Arial"/>
          <w:sz w:val="24"/>
          <w:szCs w:val="24"/>
        </w:rPr>
        <w:t xml:space="preserve">. Explicitly repealing the Electoral Act 2022, the 2026 statute introduces a vastly overhauled legal framework. It provides substantially increased campaign spending ceilings, </w:t>
      </w:r>
      <w:proofErr w:type="spellStart"/>
      <w:r w:rsidRPr="00325D48">
        <w:rPr>
          <w:rFonts w:ascii="Arial" w:eastAsia="Times New Roman" w:hAnsi="Arial" w:cs="Arial"/>
          <w:sz w:val="24"/>
          <w:szCs w:val="24"/>
        </w:rPr>
        <w:t>modernised</w:t>
      </w:r>
      <w:proofErr w:type="spellEnd"/>
      <w:r w:rsidRPr="00325D48">
        <w:rPr>
          <w:rFonts w:ascii="Arial" w:eastAsia="Times New Roman" w:hAnsi="Arial" w:cs="Arial"/>
          <w:sz w:val="24"/>
          <w:szCs w:val="24"/>
        </w:rPr>
        <w:t xml:space="preserve"> reporting mandates, stricter administrative fines, and severe criminal liability regimes designed to govern the upcoming 2027 general elections and beyond.</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2. Statutory Spending Ceilings and Limitations</w:t>
      </w:r>
    </w:p>
    <w:p w:rsidR="00325D48" w:rsidRPr="00325D48" w:rsidRDefault="00325D48" w:rsidP="00325D48">
      <w:pPr>
        <w:spacing w:after="0" w:line="360" w:lineRule="auto"/>
        <w:jc w:val="both"/>
        <w:rPr>
          <w:rFonts w:ascii="Arial" w:eastAsia="Times New Roman" w:hAnsi="Arial" w:cs="Arial"/>
          <w:sz w:val="24"/>
          <w:szCs w:val="24"/>
        </w:rPr>
      </w:pPr>
      <w:proofErr w:type="spellStart"/>
      <w:r w:rsidRPr="00325D48">
        <w:rPr>
          <w:rFonts w:ascii="Arial" w:eastAsia="Times New Roman" w:hAnsi="Arial" w:cs="Arial"/>
          <w:sz w:val="24"/>
          <w:szCs w:val="24"/>
        </w:rPr>
        <w:t>Recognising</w:t>
      </w:r>
      <w:proofErr w:type="spellEnd"/>
      <w:r w:rsidRPr="00325D48">
        <w:rPr>
          <w:rFonts w:ascii="Arial" w:eastAsia="Times New Roman" w:hAnsi="Arial" w:cs="Arial"/>
          <w:sz w:val="24"/>
          <w:szCs w:val="24"/>
        </w:rPr>
        <w:t xml:space="preserve"> the inflationary pressures on logistical operations and political communication, Sections 89, 91, 92, and 93 of the Electoral Act 2026 recalibrate </w:t>
      </w:r>
      <w:r w:rsidRPr="00325D48">
        <w:rPr>
          <w:rFonts w:ascii="Arial" w:eastAsia="Times New Roman" w:hAnsi="Arial" w:cs="Arial"/>
          <w:sz w:val="24"/>
          <w:szCs w:val="24"/>
        </w:rPr>
        <w:lastRenderedPageBreak/>
        <w:t>candidate and party spending limits [3]. These limits represent a 100% to 400% increase over previous statutory baselines:</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Presidential Candidates:</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₦10 billion</w:t>
      </w:r>
      <w:r w:rsidRPr="00325D48">
        <w:rPr>
          <w:rFonts w:ascii="Arial" w:eastAsia="Times New Roman" w:hAnsi="Arial" w:cs="Arial"/>
          <w:sz w:val="24"/>
          <w:szCs w:val="24"/>
        </w:rPr>
        <w:t>.</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Governorship Candidates:</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₦3 billion</w:t>
      </w:r>
      <w:r w:rsidRPr="00325D48">
        <w:rPr>
          <w:rFonts w:ascii="Arial" w:eastAsia="Times New Roman" w:hAnsi="Arial" w:cs="Arial"/>
          <w:sz w:val="24"/>
          <w:szCs w:val="24"/>
        </w:rPr>
        <w:t>.</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Senatorial Candidates:</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₦500 million</w:t>
      </w:r>
      <w:r w:rsidRPr="00325D48">
        <w:rPr>
          <w:rFonts w:ascii="Arial" w:eastAsia="Times New Roman" w:hAnsi="Arial" w:cs="Arial"/>
          <w:sz w:val="24"/>
          <w:szCs w:val="24"/>
        </w:rPr>
        <w:t>.</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House of Representatives Candidates:</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₦250 million</w:t>
      </w:r>
      <w:r w:rsidRPr="00325D48">
        <w:rPr>
          <w:rFonts w:ascii="Arial" w:eastAsia="Times New Roman" w:hAnsi="Arial" w:cs="Arial"/>
          <w:sz w:val="24"/>
          <w:szCs w:val="24"/>
        </w:rPr>
        <w:t>.</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State House of Assembly Candidates:</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₦100 million</w:t>
      </w:r>
      <w:r w:rsidRPr="00325D48">
        <w:rPr>
          <w:rFonts w:ascii="Arial" w:eastAsia="Times New Roman" w:hAnsi="Arial" w:cs="Arial"/>
          <w:sz w:val="24"/>
          <w:szCs w:val="24"/>
        </w:rPr>
        <w:t>.</w:t>
      </w:r>
    </w:p>
    <w:p w:rsidR="00325D48" w:rsidRPr="00325D48" w:rsidRDefault="00325D48" w:rsidP="00325D48">
      <w:pPr>
        <w:numPr>
          <w:ilvl w:val="0"/>
          <w:numId w:val="1"/>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Area Council Chairmanship Candidates (</w:t>
      </w:r>
      <w:proofErr w:type="spellStart"/>
      <w:r w:rsidRPr="00325D48">
        <w:rPr>
          <w:rFonts w:ascii="Arial" w:eastAsia="Times New Roman" w:hAnsi="Arial" w:cs="Arial"/>
          <w:b/>
          <w:bCs/>
          <w:sz w:val="24"/>
          <w:szCs w:val="24"/>
        </w:rPr>
        <w:t>FCT</w:t>
      </w:r>
      <w:proofErr w:type="spellEnd"/>
      <w:r w:rsidRPr="00325D48">
        <w:rPr>
          <w:rFonts w:ascii="Arial" w:eastAsia="Times New Roman" w:hAnsi="Arial" w:cs="Arial"/>
          <w:b/>
          <w:bCs/>
          <w:sz w:val="24"/>
          <w:szCs w:val="24"/>
        </w:rPr>
        <w:t>):</w:t>
      </w:r>
      <w:r w:rsidRPr="00325D48">
        <w:rPr>
          <w:rFonts w:ascii="Arial" w:eastAsia="Times New Roman" w:hAnsi="Arial" w:cs="Arial"/>
          <w:sz w:val="24"/>
          <w:szCs w:val="24"/>
        </w:rPr>
        <w:t xml:space="preserve"> Maximum expenditure is capped at </w:t>
      </w:r>
      <w:r w:rsidRPr="00325D48">
        <w:rPr>
          <w:rFonts w:ascii="Arial" w:eastAsia="Times New Roman" w:hAnsi="Arial" w:cs="Arial"/>
          <w:b/>
          <w:bCs/>
          <w:sz w:val="24"/>
          <w:szCs w:val="24"/>
        </w:rPr>
        <w:t>₦10 million</w:t>
      </w:r>
      <w:r w:rsidRPr="00325D48">
        <w:rPr>
          <w:rFonts w:ascii="Arial" w:eastAsia="Times New Roman" w:hAnsi="Arial" w:cs="Arial"/>
          <w:sz w:val="24"/>
          <w:szCs w:val="24"/>
        </w:rPr>
        <w:t>.</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Beyond candidate-specific spending ceilings, the Electoral Act 2026 fundamentally restructures the supply side of political financing [3]. Section 92 establishes that the maximum individual or </w:t>
      </w:r>
      <w:proofErr w:type="spellStart"/>
      <w:r w:rsidRPr="00325D48">
        <w:rPr>
          <w:rFonts w:ascii="Arial" w:eastAsia="Times New Roman" w:hAnsi="Arial" w:cs="Arial"/>
          <w:sz w:val="24"/>
          <w:szCs w:val="24"/>
        </w:rPr>
        <w:t>organisational</w:t>
      </w:r>
      <w:proofErr w:type="spellEnd"/>
      <w:r w:rsidRPr="00325D48">
        <w:rPr>
          <w:rFonts w:ascii="Arial" w:eastAsia="Times New Roman" w:hAnsi="Arial" w:cs="Arial"/>
          <w:sz w:val="24"/>
          <w:szCs w:val="24"/>
        </w:rPr>
        <w:t xml:space="preserve"> donation permitted to any single candidate is strictly capped at </w:t>
      </w:r>
      <w:r w:rsidRPr="00325D48">
        <w:rPr>
          <w:rFonts w:ascii="Arial" w:eastAsia="Times New Roman" w:hAnsi="Arial" w:cs="Arial"/>
          <w:b/>
          <w:bCs/>
          <w:sz w:val="24"/>
          <w:szCs w:val="24"/>
        </w:rPr>
        <w:t>₦500 million</w:t>
      </w:r>
      <w:r w:rsidRPr="00325D48">
        <w:rPr>
          <w:rFonts w:ascii="Arial" w:eastAsia="Times New Roman" w:hAnsi="Arial" w:cs="Arial"/>
          <w:sz w:val="24"/>
          <w:szCs w:val="24"/>
        </w:rPr>
        <w:t>.</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Furthermore, anonymous donations are strictly prohibited across all levels of political participation [3]. To prevent the </w:t>
      </w:r>
      <w:proofErr w:type="spellStart"/>
      <w:r w:rsidRPr="00325D48">
        <w:rPr>
          <w:rFonts w:ascii="Arial" w:eastAsia="Times New Roman" w:hAnsi="Arial" w:cs="Arial"/>
          <w:sz w:val="24"/>
          <w:szCs w:val="24"/>
        </w:rPr>
        <w:t>anonymised</w:t>
      </w:r>
      <w:proofErr w:type="spellEnd"/>
      <w:r w:rsidRPr="00325D48">
        <w:rPr>
          <w:rFonts w:ascii="Arial" w:eastAsia="Times New Roman" w:hAnsi="Arial" w:cs="Arial"/>
          <w:sz w:val="24"/>
          <w:szCs w:val="24"/>
        </w:rPr>
        <w:t xml:space="preserve"> obscuring of illicit wealth within party structures, any donation exceeding ₦100 million triggers mandatory disclosure laws, requiring political parties and candidates to fully record, preserve, and verify the donor’s legal name, National Identification Number (NIN), or corporate registration credentials [3].</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3. Reporting and Disclosure Obligations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The statutory machinery under the Electoral Act 2026 shifts the burden of proof onto political entities, imposing a continuous and highly structured reporting and disclosure regime [3]:</w:t>
      </w:r>
    </w:p>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rPr>
      </w:pPr>
    </w:p>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rPr>
      </w:pPr>
    </w:p>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rPr>
      </w:pPr>
    </w:p>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4788"/>
        <w:gridCol w:w="4788"/>
      </w:tblGrid>
      <w:tr w:rsidR="00325D48" w:rsidRPr="00650890" w:rsidTr="00650890">
        <w:tc>
          <w:tcPr>
            <w:tcW w:w="9576" w:type="dxa"/>
            <w:gridSpan w:val="2"/>
            <w:shd w:val="clear" w:color="auto" w:fill="D9D9D9" w:themeFill="background1" w:themeFillShade="D9"/>
          </w:tcPr>
          <w:p w:rsidR="00325D48" w:rsidRPr="00650890"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Arial" w:eastAsia="Times New Roman" w:hAnsi="Arial" w:cs="Arial"/>
                <w:b/>
                <w:sz w:val="24"/>
                <w:szCs w:val="24"/>
              </w:rPr>
            </w:pPr>
            <w:r w:rsidRPr="00650890">
              <w:rPr>
                <w:rFonts w:ascii="Arial" w:eastAsia="Times New Roman" w:hAnsi="Arial" w:cs="Arial"/>
                <w:b/>
                <w:sz w:val="24"/>
                <w:szCs w:val="24"/>
              </w:rPr>
              <w:lastRenderedPageBreak/>
              <w:t>TIMELINE OF STATUTORY COMPLIANCE CITATIONS</w:t>
            </w:r>
          </w:p>
        </w:tc>
      </w:tr>
      <w:tr w:rsidR="00325D48" w:rsidTr="00325D48">
        <w:tc>
          <w:tcPr>
            <w:tcW w:w="4788" w:type="dxa"/>
          </w:tcPr>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150 Days Pre-Poll</w:t>
            </w:r>
          </w:p>
        </w:tc>
        <w:tc>
          <w:tcPr>
            <w:tcW w:w="4788" w:type="dxa"/>
          </w:tcPr>
          <w:p w:rsidR="00650890"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Public Campaign Windows Open</w:t>
            </w:r>
            <w:r>
              <w:rPr>
                <w:rFonts w:ascii="Arial" w:eastAsia="Times New Roman" w:hAnsi="Arial" w:cs="Arial"/>
                <w:sz w:val="24"/>
                <w:szCs w:val="24"/>
              </w:rPr>
              <w:t xml:space="preserve"> </w:t>
            </w:r>
          </w:p>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(Section 92/94)</w:t>
            </w:r>
          </w:p>
        </w:tc>
      </w:tr>
      <w:tr w:rsidR="00325D48" w:rsidTr="00325D48">
        <w:tc>
          <w:tcPr>
            <w:tcW w:w="4788" w:type="dxa"/>
          </w:tcPr>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24 Hours Pre-Poll</w:t>
            </w:r>
          </w:p>
        </w:tc>
        <w:tc>
          <w:tcPr>
            <w:tcW w:w="4788" w:type="dxa"/>
          </w:tcPr>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Strict Campaign Blackout; All Public</w:t>
            </w:r>
            <w:r>
              <w:rPr>
                <w:rFonts w:ascii="Arial" w:eastAsia="Times New Roman" w:hAnsi="Arial" w:cs="Arial"/>
                <w:sz w:val="24"/>
                <w:szCs w:val="24"/>
              </w:rPr>
              <w:t xml:space="preserve"> </w:t>
            </w:r>
            <w:r w:rsidRPr="00325D48">
              <w:rPr>
                <w:rFonts w:ascii="Arial" w:eastAsia="Times New Roman" w:hAnsi="Arial" w:cs="Arial"/>
                <w:sz w:val="24"/>
                <w:szCs w:val="24"/>
              </w:rPr>
              <w:t>Rallies &amp; Media Advertisements Cease</w:t>
            </w:r>
          </w:p>
        </w:tc>
      </w:tr>
      <w:tr w:rsidR="00325D48" w:rsidTr="00325D48">
        <w:tc>
          <w:tcPr>
            <w:tcW w:w="4788" w:type="dxa"/>
          </w:tcPr>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21 Days Post-Receipt</w:t>
            </w:r>
          </w:p>
        </w:tc>
        <w:tc>
          <w:tcPr>
            <w:tcW w:w="4788" w:type="dxa"/>
          </w:tcPr>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Pr>
                <w:rFonts w:ascii="Arial" w:eastAsia="Times New Roman" w:hAnsi="Arial" w:cs="Arial"/>
                <w:sz w:val="24"/>
                <w:szCs w:val="24"/>
              </w:rPr>
              <w:t>D</w:t>
            </w:r>
            <w:r w:rsidRPr="00325D48">
              <w:rPr>
                <w:rFonts w:ascii="Arial" w:eastAsia="Times New Roman" w:hAnsi="Arial" w:cs="Arial"/>
                <w:sz w:val="24"/>
                <w:szCs w:val="24"/>
              </w:rPr>
              <w:t>eadline to Surrender Accidentally</w:t>
            </w:r>
            <w:r w:rsidR="00650890">
              <w:rPr>
                <w:rFonts w:ascii="Arial" w:eastAsia="Times New Roman" w:hAnsi="Arial" w:cs="Arial"/>
                <w:sz w:val="24"/>
                <w:szCs w:val="24"/>
              </w:rPr>
              <w:t xml:space="preserve"> </w:t>
            </w:r>
            <w:r w:rsidR="00650890" w:rsidRPr="00325D48">
              <w:rPr>
                <w:rFonts w:ascii="Arial" w:eastAsia="Times New Roman" w:hAnsi="Arial" w:cs="Arial"/>
                <w:sz w:val="24"/>
                <w:szCs w:val="24"/>
              </w:rPr>
              <w:t xml:space="preserve">Received Foreign Remittances to </w:t>
            </w:r>
            <w:proofErr w:type="spellStart"/>
            <w:r w:rsidR="00650890" w:rsidRPr="00325D48">
              <w:rPr>
                <w:rFonts w:ascii="Arial" w:eastAsia="Times New Roman" w:hAnsi="Arial" w:cs="Arial"/>
                <w:sz w:val="24"/>
                <w:szCs w:val="24"/>
              </w:rPr>
              <w:t>INEC</w:t>
            </w:r>
            <w:proofErr w:type="spellEnd"/>
          </w:p>
        </w:tc>
      </w:tr>
      <w:tr w:rsidR="00325D48" w:rsidTr="00325D48">
        <w:tc>
          <w:tcPr>
            <w:tcW w:w="4788" w:type="dxa"/>
          </w:tcPr>
          <w:p w:rsidR="00325D48" w:rsidRDefault="00650890"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6 Months Post-Election</w:t>
            </w:r>
          </w:p>
        </w:tc>
        <w:tc>
          <w:tcPr>
            <w:tcW w:w="4788" w:type="dxa"/>
          </w:tcPr>
          <w:p w:rsidR="00325D48" w:rsidRDefault="00650890"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sz w:val="24"/>
                <w:szCs w:val="24"/>
              </w:rPr>
            </w:pPr>
            <w:r w:rsidRPr="00325D48">
              <w:rPr>
                <w:rFonts w:ascii="Arial" w:eastAsia="Times New Roman" w:hAnsi="Arial" w:cs="Arial"/>
                <w:sz w:val="24"/>
                <w:szCs w:val="24"/>
              </w:rPr>
              <w:t>Mandatory Submission &amp; Newspaper</w:t>
            </w:r>
            <w:r>
              <w:rPr>
                <w:rFonts w:ascii="Arial" w:eastAsia="Times New Roman" w:hAnsi="Arial" w:cs="Arial"/>
                <w:sz w:val="24"/>
                <w:szCs w:val="24"/>
              </w:rPr>
              <w:t xml:space="preserve"> </w:t>
            </w:r>
            <w:r w:rsidRPr="00325D48">
              <w:rPr>
                <w:rFonts w:ascii="Arial" w:eastAsia="Times New Roman" w:hAnsi="Arial" w:cs="Arial"/>
                <w:sz w:val="24"/>
                <w:szCs w:val="24"/>
              </w:rPr>
              <w:t>Publication of Audited Accounts</w:t>
            </w:r>
          </w:p>
        </w:tc>
      </w:tr>
    </w:tbl>
    <w:p w:rsidR="00325D48" w:rsidRDefault="00325D48" w:rsidP="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Expenditure Tracking and Audited Financial Statements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Political parties and candidates are legally required to maintain meticulous, contemporaneous ledgers of all incoming financial contributions, in-kind donations, and operational outlays [3]. Under the updated disclosure timelines, every registered political party must submit a comprehensive, independently audited account of its campaign-related and general operational expenses to the Independent National Electoral Commission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within </w:t>
      </w:r>
      <w:r w:rsidRPr="00325D48">
        <w:rPr>
          <w:rFonts w:ascii="Arial" w:eastAsia="Times New Roman" w:hAnsi="Arial" w:cs="Arial"/>
          <w:b/>
          <w:bCs/>
          <w:sz w:val="24"/>
          <w:szCs w:val="24"/>
        </w:rPr>
        <w:t>six months</w:t>
      </w:r>
      <w:r w:rsidRPr="00325D48">
        <w:rPr>
          <w:rFonts w:ascii="Arial" w:eastAsia="Times New Roman" w:hAnsi="Arial" w:cs="Arial"/>
          <w:sz w:val="24"/>
          <w:szCs w:val="24"/>
        </w:rPr>
        <w:t xml:space="preserve"> following the conclusion of an election [3]. To guarantee public oversight, these audited statements must be published within the same timeframe in at least two national print newspapers and on the party's official web portal [3].</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Strict Redirection of Foreign Remittances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In strict alignment with Section 225(3) of the Constitution, Section 89 of the Electoral Act 2026 mandates that any foreign fund, asset, or offshore remittance mistakenly or intentionally transferred to a political party must be declared and physically surrendered to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within </w:t>
      </w:r>
      <w:r w:rsidRPr="00325D48">
        <w:rPr>
          <w:rFonts w:ascii="Arial" w:eastAsia="Times New Roman" w:hAnsi="Arial" w:cs="Arial"/>
          <w:b/>
          <w:bCs/>
          <w:sz w:val="24"/>
          <w:szCs w:val="24"/>
        </w:rPr>
        <w:t>21 days</w:t>
      </w:r>
      <w:r w:rsidRPr="00325D48">
        <w:rPr>
          <w:rFonts w:ascii="Arial" w:eastAsia="Times New Roman" w:hAnsi="Arial" w:cs="Arial"/>
          <w:sz w:val="24"/>
          <w:szCs w:val="24"/>
        </w:rPr>
        <w:t xml:space="preserve"> of receipt [2, 3]. Political parties are entirely barred from utilizing offshore wealth to influence domestic elections [2].</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Campaign Window Restraints and Media Equity Mandates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Per statutory operational rules, public campaigning formally commences 150 days prior to polling but must definitively cease </w:t>
      </w:r>
      <w:r w:rsidRPr="00325D48">
        <w:rPr>
          <w:rFonts w:ascii="Arial" w:eastAsia="Times New Roman" w:hAnsi="Arial" w:cs="Arial"/>
          <w:b/>
          <w:bCs/>
          <w:sz w:val="24"/>
          <w:szCs w:val="24"/>
        </w:rPr>
        <w:t>24 hours</w:t>
      </w:r>
      <w:r w:rsidRPr="00325D48">
        <w:rPr>
          <w:rFonts w:ascii="Arial" w:eastAsia="Times New Roman" w:hAnsi="Arial" w:cs="Arial"/>
          <w:sz w:val="24"/>
          <w:szCs w:val="24"/>
        </w:rPr>
        <w:t xml:space="preserve"> before polling day. Under Section 94, all </w:t>
      </w:r>
      <w:r w:rsidRPr="00325D48">
        <w:rPr>
          <w:rFonts w:ascii="Arial" w:eastAsia="Times New Roman" w:hAnsi="Arial" w:cs="Arial"/>
          <w:sz w:val="24"/>
          <w:szCs w:val="24"/>
        </w:rPr>
        <w:lastRenderedPageBreak/>
        <w:t>public print and broadcast media organizations are bound by strict equity rules [3]. State-owned and commercial media outlets must provide entirely equal visibility, airtime rates, and coverage allocations to all registered political parties, preventing wealthier campaigns from monopolizing public airwaves [3].</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4. Accountability, Enforcement, and Liability Regimes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To address the historic critique that Nigerian campaign laws act as "toothless bulldogs," the Electoral Act 2026 introduces highly punitive financial and custodial penalties designed to deter non-compliance.</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Penalties for Excess Expenditures and Contributions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If a political party or candidate exceeds the prescribed statutory spending limits, the party is liable to an administrative fine of up to </w:t>
      </w:r>
      <w:r w:rsidRPr="00325D48">
        <w:rPr>
          <w:rFonts w:ascii="Arial" w:eastAsia="Times New Roman" w:hAnsi="Arial" w:cs="Arial"/>
          <w:b/>
          <w:bCs/>
          <w:sz w:val="24"/>
          <w:szCs w:val="24"/>
        </w:rPr>
        <w:t>₦10,000,000</w:t>
      </w:r>
      <w:r w:rsidRPr="00325D48">
        <w:rPr>
          <w:rFonts w:ascii="Arial" w:eastAsia="Times New Roman" w:hAnsi="Arial" w:cs="Arial"/>
          <w:sz w:val="24"/>
          <w:szCs w:val="24"/>
        </w:rPr>
        <w:t xml:space="preserve">, alongside the absolute forfeiture of the excess amount to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[3]. For individual contributors who breach the ₦500 million donation cap, the law imposes a severe multiplier penalty: the individual faces a mandatory fine equivalent to </w:t>
      </w:r>
      <w:r w:rsidRPr="00325D48">
        <w:rPr>
          <w:rFonts w:ascii="Arial" w:eastAsia="Times New Roman" w:hAnsi="Arial" w:cs="Arial"/>
          <w:b/>
          <w:bCs/>
          <w:sz w:val="24"/>
          <w:szCs w:val="24"/>
        </w:rPr>
        <w:t>five times</w:t>
      </w:r>
      <w:r w:rsidRPr="00325D48">
        <w:rPr>
          <w:rFonts w:ascii="Arial" w:eastAsia="Times New Roman" w:hAnsi="Arial" w:cs="Arial"/>
          <w:sz w:val="24"/>
          <w:szCs w:val="24"/>
        </w:rPr>
        <w:t xml:space="preserve"> the total amount given in excess of the statutory ceiling [3].</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Sanctions for Foreign Fund Retention</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Any political party that violates the constitutional ban by retaining foreign funds or failing to transfer offshore remittances to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within the 21-day grace period faces a minimum statutory fine of </w:t>
      </w:r>
      <w:r w:rsidRPr="00325D48">
        <w:rPr>
          <w:rFonts w:ascii="Arial" w:eastAsia="Times New Roman" w:hAnsi="Arial" w:cs="Arial"/>
          <w:b/>
          <w:bCs/>
          <w:sz w:val="24"/>
          <w:szCs w:val="24"/>
        </w:rPr>
        <w:t>₦5,000,000</w:t>
      </w:r>
      <w:r w:rsidRPr="00325D48">
        <w:rPr>
          <w:rFonts w:ascii="Arial" w:eastAsia="Times New Roman" w:hAnsi="Arial" w:cs="Arial"/>
          <w:sz w:val="24"/>
          <w:szCs w:val="24"/>
        </w:rPr>
        <w:t xml:space="preserve"> [3]. Additionally, the entire value of the foreign asset or fund is subject to immediate state forfeiture [3].</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Media and Equal Access Infractions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Under Section 94, any public media house found guilty of violating equal-coverage mandates faces a fine of </w:t>
      </w:r>
      <w:r w:rsidRPr="00325D48">
        <w:rPr>
          <w:rFonts w:ascii="Arial" w:eastAsia="Times New Roman" w:hAnsi="Arial" w:cs="Arial"/>
          <w:b/>
          <w:bCs/>
          <w:sz w:val="24"/>
          <w:szCs w:val="24"/>
        </w:rPr>
        <w:t>₦2,000,000</w:t>
      </w:r>
      <w:r w:rsidRPr="00325D48">
        <w:rPr>
          <w:rFonts w:ascii="Arial" w:eastAsia="Times New Roman" w:hAnsi="Arial" w:cs="Arial"/>
          <w:sz w:val="24"/>
          <w:szCs w:val="24"/>
        </w:rPr>
        <w:t xml:space="preserve"> for a first-time offense, scaling up to </w:t>
      </w:r>
      <w:r w:rsidRPr="00325D48">
        <w:rPr>
          <w:rFonts w:ascii="Arial" w:eastAsia="Times New Roman" w:hAnsi="Arial" w:cs="Arial"/>
          <w:b/>
          <w:bCs/>
          <w:sz w:val="24"/>
          <w:szCs w:val="24"/>
        </w:rPr>
        <w:t>₦5,000,000</w:t>
      </w:r>
      <w:r w:rsidRPr="00325D48">
        <w:rPr>
          <w:rFonts w:ascii="Arial" w:eastAsia="Times New Roman" w:hAnsi="Arial" w:cs="Arial"/>
          <w:sz w:val="24"/>
          <w:szCs w:val="24"/>
        </w:rPr>
        <w:t xml:space="preserve"> for subsequent convictions [3]. To ensure individual accountability, the principal officers, managing directors, and responsible editorial staff of the offending media corporation face criminal prosecution, carrying a fine of </w:t>
      </w:r>
      <w:r w:rsidRPr="00325D48">
        <w:rPr>
          <w:rFonts w:ascii="Arial" w:eastAsia="Times New Roman" w:hAnsi="Arial" w:cs="Arial"/>
          <w:b/>
          <w:bCs/>
          <w:sz w:val="24"/>
          <w:szCs w:val="24"/>
        </w:rPr>
        <w:t>₦1,000,000</w:t>
      </w:r>
      <w:r w:rsidRPr="00325D48">
        <w:rPr>
          <w:rFonts w:ascii="Arial" w:eastAsia="Times New Roman" w:hAnsi="Arial" w:cs="Arial"/>
          <w:sz w:val="24"/>
          <w:szCs w:val="24"/>
        </w:rPr>
        <w:t xml:space="preserve"> or an explicit term of imprisonment for up to </w:t>
      </w:r>
      <w:r w:rsidRPr="00325D48">
        <w:rPr>
          <w:rFonts w:ascii="Arial" w:eastAsia="Times New Roman" w:hAnsi="Arial" w:cs="Arial"/>
          <w:b/>
          <w:bCs/>
          <w:sz w:val="24"/>
          <w:szCs w:val="24"/>
        </w:rPr>
        <w:t>six months</w:t>
      </w:r>
      <w:r w:rsidRPr="00325D48">
        <w:rPr>
          <w:rFonts w:ascii="Arial" w:eastAsia="Times New Roman" w:hAnsi="Arial" w:cs="Arial"/>
          <w:sz w:val="24"/>
          <w:szCs w:val="24"/>
        </w:rPr>
        <w:t xml:space="preserve"> [3].</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General Electoral Offences and Corporate Criminality</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For broader systemic infractions—including structural nomination fraud, vote buying, and deliberate financial concealment—the Act scales criminal penalties to unprecedented heights. General corporate infractions carry severe penalties, including fines up to </w:t>
      </w:r>
      <w:r w:rsidRPr="00325D48">
        <w:rPr>
          <w:rFonts w:ascii="Arial" w:eastAsia="Times New Roman" w:hAnsi="Arial" w:cs="Arial"/>
          <w:b/>
          <w:bCs/>
          <w:sz w:val="24"/>
          <w:szCs w:val="24"/>
        </w:rPr>
        <w:t>₦75,000,000</w:t>
      </w:r>
      <w:r w:rsidRPr="00325D48">
        <w:rPr>
          <w:rFonts w:ascii="Arial" w:eastAsia="Times New Roman" w:hAnsi="Arial" w:cs="Arial"/>
          <w:sz w:val="24"/>
          <w:szCs w:val="24"/>
        </w:rPr>
        <w:t xml:space="preserve"> and terms of custodial imprisonment extending up to </w:t>
      </w:r>
      <w:r w:rsidRPr="00325D48">
        <w:rPr>
          <w:rFonts w:ascii="Arial" w:eastAsia="Times New Roman" w:hAnsi="Arial" w:cs="Arial"/>
          <w:b/>
          <w:bCs/>
          <w:sz w:val="24"/>
          <w:szCs w:val="24"/>
        </w:rPr>
        <w:t>10 years or more</w:t>
      </w:r>
      <w:r w:rsidRPr="00325D48">
        <w:rPr>
          <w:rFonts w:ascii="Arial" w:eastAsia="Times New Roman" w:hAnsi="Arial" w:cs="Arial"/>
          <w:sz w:val="24"/>
          <w:szCs w:val="24"/>
        </w:rPr>
        <w:t>, depending on the gravity and tier of the breach.</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5. Trends in Case Law and Judicial Interpretation</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The practical operationalization of both the 1999 Constitution and the Electoral Act 2026 is heavily dictated by the trends of judicial interpretation across the Bench [1, 2, </w:t>
      </w:r>
      <w:proofErr w:type="gramStart"/>
      <w:r w:rsidRPr="00325D48">
        <w:rPr>
          <w:rFonts w:ascii="Arial" w:eastAsia="Times New Roman" w:hAnsi="Arial" w:cs="Arial"/>
          <w:sz w:val="24"/>
          <w:szCs w:val="24"/>
        </w:rPr>
        <w:t>3</w:t>
      </w:r>
      <w:proofErr w:type="gramEnd"/>
      <w:r w:rsidRPr="00325D48">
        <w:rPr>
          <w:rFonts w:ascii="Arial" w:eastAsia="Times New Roman" w:hAnsi="Arial" w:cs="Arial"/>
          <w:sz w:val="24"/>
          <w:szCs w:val="24"/>
        </w:rPr>
        <w:t>]. Recent litigation highlights an important shift from judicial passivity toward an active public-interest framework driven by civil society litigation.</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The Mandamus Wave on Compliance Tracking</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Ahead of the upcoming </w:t>
      </w:r>
      <w:r w:rsidRPr="00325D48">
        <w:rPr>
          <w:rFonts w:ascii="Arial" w:eastAsia="Times New Roman" w:hAnsi="Arial" w:cs="Arial"/>
          <w:b/>
          <w:bCs/>
          <w:sz w:val="24"/>
          <w:szCs w:val="24"/>
        </w:rPr>
        <w:t>2027 general elections</w:t>
      </w:r>
      <w:r w:rsidRPr="00325D48">
        <w:rPr>
          <w:rFonts w:ascii="Arial" w:eastAsia="Times New Roman" w:hAnsi="Arial" w:cs="Arial"/>
          <w:sz w:val="24"/>
          <w:szCs w:val="24"/>
        </w:rPr>
        <w:t xml:space="preserve">, courts have increasingly become battlegrounds for structural transparency [1]. In the landmark suit </w:t>
      </w:r>
      <w:r w:rsidRPr="00325D48">
        <w:rPr>
          <w:rFonts w:ascii="Arial" w:eastAsia="Times New Roman" w:hAnsi="Arial" w:cs="Arial"/>
          <w:b/>
          <w:bCs/>
          <w:i/>
          <w:iCs/>
          <w:sz w:val="24"/>
          <w:szCs w:val="24"/>
        </w:rPr>
        <w:t>Socio-Economic Rights and Accountability Project (</w:t>
      </w:r>
      <w:proofErr w:type="spellStart"/>
      <w:r w:rsidRPr="00325D48">
        <w:rPr>
          <w:rFonts w:ascii="Arial" w:eastAsia="Times New Roman" w:hAnsi="Arial" w:cs="Arial"/>
          <w:b/>
          <w:bCs/>
          <w:i/>
          <w:iCs/>
          <w:sz w:val="24"/>
          <w:szCs w:val="24"/>
        </w:rPr>
        <w:t>SERAP</w:t>
      </w:r>
      <w:proofErr w:type="spellEnd"/>
      <w:r w:rsidRPr="00325D48">
        <w:rPr>
          <w:rFonts w:ascii="Arial" w:eastAsia="Times New Roman" w:hAnsi="Arial" w:cs="Arial"/>
          <w:b/>
          <w:bCs/>
          <w:i/>
          <w:iCs/>
          <w:sz w:val="24"/>
          <w:szCs w:val="24"/>
        </w:rPr>
        <w:t xml:space="preserve">) v. </w:t>
      </w:r>
      <w:proofErr w:type="spellStart"/>
      <w:r w:rsidRPr="00325D48">
        <w:rPr>
          <w:rFonts w:ascii="Arial" w:eastAsia="Times New Roman" w:hAnsi="Arial" w:cs="Arial"/>
          <w:b/>
          <w:bCs/>
          <w:i/>
          <w:iCs/>
          <w:sz w:val="24"/>
          <w:szCs w:val="24"/>
        </w:rPr>
        <w:t>INEC</w:t>
      </w:r>
      <w:proofErr w:type="spellEnd"/>
      <w:r w:rsidRPr="00325D48">
        <w:rPr>
          <w:rFonts w:ascii="Arial" w:eastAsia="Times New Roman" w:hAnsi="Arial" w:cs="Arial"/>
          <w:b/>
          <w:bCs/>
          <w:sz w:val="24"/>
          <w:szCs w:val="24"/>
        </w:rPr>
        <w:t xml:space="preserve"> (</w:t>
      </w:r>
      <w:proofErr w:type="spellStart"/>
      <w:r w:rsidRPr="00325D48">
        <w:rPr>
          <w:rFonts w:ascii="Arial" w:eastAsia="Times New Roman" w:hAnsi="Arial" w:cs="Arial"/>
          <w:b/>
          <w:bCs/>
          <w:sz w:val="24"/>
          <w:szCs w:val="24"/>
        </w:rPr>
        <w:t>FHC</w:t>
      </w:r>
      <w:proofErr w:type="spellEnd"/>
      <w:r w:rsidRPr="00325D48">
        <w:rPr>
          <w:rFonts w:ascii="Arial" w:eastAsia="Times New Roman" w:hAnsi="Arial" w:cs="Arial"/>
          <w:b/>
          <w:bCs/>
          <w:sz w:val="24"/>
          <w:szCs w:val="24"/>
        </w:rPr>
        <w:t>/</w:t>
      </w:r>
      <w:proofErr w:type="spellStart"/>
      <w:r w:rsidRPr="00325D48">
        <w:rPr>
          <w:rFonts w:ascii="Arial" w:eastAsia="Times New Roman" w:hAnsi="Arial" w:cs="Arial"/>
          <w:b/>
          <w:bCs/>
          <w:sz w:val="24"/>
          <w:szCs w:val="24"/>
        </w:rPr>
        <w:t>ABJ</w:t>
      </w:r>
      <w:proofErr w:type="spellEnd"/>
      <w:r w:rsidRPr="00325D48">
        <w:rPr>
          <w:rFonts w:ascii="Arial" w:eastAsia="Times New Roman" w:hAnsi="Arial" w:cs="Arial"/>
          <w:b/>
          <w:bCs/>
          <w:sz w:val="24"/>
          <w:szCs w:val="24"/>
        </w:rPr>
        <w:t>/CS/2114/2026)</w:t>
      </w:r>
      <w:r w:rsidRPr="00325D48">
        <w:rPr>
          <w:rFonts w:ascii="Arial" w:eastAsia="Times New Roman" w:hAnsi="Arial" w:cs="Arial"/>
          <w:sz w:val="24"/>
          <w:szCs w:val="24"/>
        </w:rPr>
        <w:t xml:space="preserve">, the plaintiff filed an application for an </w:t>
      </w:r>
      <w:r w:rsidRPr="00325D48">
        <w:rPr>
          <w:rFonts w:ascii="Arial" w:eastAsia="Times New Roman" w:hAnsi="Arial" w:cs="Arial"/>
          <w:i/>
          <w:iCs/>
          <w:sz w:val="24"/>
          <w:szCs w:val="24"/>
        </w:rPr>
        <w:t>order of mandamus</w:t>
      </w:r>
      <w:r w:rsidRPr="00325D48">
        <w:rPr>
          <w:rFonts w:ascii="Arial" w:eastAsia="Times New Roman" w:hAnsi="Arial" w:cs="Arial"/>
          <w:sz w:val="24"/>
          <w:szCs w:val="24"/>
        </w:rPr>
        <w:t xml:space="preserve"> to compel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to publicly unveil the specific digital auditing frameworks, account structures, and electronic tracking mechanisms it intends to deploy to monitor social media campaigns, third-party funding networks, and dark-money expenditures [1]. This trend signals that campaign finance tracking is shifting from a closed internal administrative matter to an actionable public right.</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Judicial Policing of State/Corporate Capture</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The judiciary is also being called upon to actively police the illegal diversion of public state funds into private partisan campaigns. In </w:t>
      </w:r>
      <w:r w:rsidRPr="00325D48">
        <w:rPr>
          <w:rFonts w:ascii="Arial" w:eastAsia="Times New Roman" w:hAnsi="Arial" w:cs="Arial"/>
          <w:b/>
          <w:bCs/>
          <w:i/>
          <w:iCs/>
          <w:sz w:val="24"/>
          <w:szCs w:val="24"/>
        </w:rPr>
        <w:t xml:space="preserve">Civil Society Coalition on Electoral Reform v. </w:t>
      </w:r>
      <w:proofErr w:type="spellStart"/>
      <w:r w:rsidRPr="00325D48">
        <w:rPr>
          <w:rFonts w:ascii="Arial" w:eastAsia="Times New Roman" w:hAnsi="Arial" w:cs="Arial"/>
          <w:b/>
          <w:bCs/>
          <w:i/>
          <w:iCs/>
          <w:sz w:val="24"/>
          <w:szCs w:val="24"/>
        </w:rPr>
        <w:t>INEC</w:t>
      </w:r>
      <w:proofErr w:type="spellEnd"/>
      <w:r w:rsidRPr="00325D48">
        <w:rPr>
          <w:rFonts w:ascii="Arial" w:eastAsia="Times New Roman" w:hAnsi="Arial" w:cs="Arial"/>
          <w:b/>
          <w:bCs/>
          <w:i/>
          <w:iCs/>
          <w:sz w:val="24"/>
          <w:szCs w:val="24"/>
        </w:rPr>
        <w:t xml:space="preserve"> &amp; </w:t>
      </w:r>
      <w:proofErr w:type="spellStart"/>
      <w:r w:rsidRPr="00325D48">
        <w:rPr>
          <w:rFonts w:ascii="Arial" w:eastAsia="Times New Roman" w:hAnsi="Arial" w:cs="Arial"/>
          <w:b/>
          <w:bCs/>
          <w:i/>
          <w:iCs/>
          <w:sz w:val="24"/>
          <w:szCs w:val="24"/>
        </w:rPr>
        <w:t>Ors</w:t>
      </w:r>
      <w:proofErr w:type="spellEnd"/>
      <w:r w:rsidRPr="00325D48">
        <w:rPr>
          <w:rFonts w:ascii="Arial" w:eastAsia="Times New Roman" w:hAnsi="Arial" w:cs="Arial"/>
          <w:b/>
          <w:bCs/>
          <w:sz w:val="24"/>
          <w:szCs w:val="24"/>
        </w:rPr>
        <w:t xml:space="preserve"> (</w:t>
      </w:r>
      <w:proofErr w:type="spellStart"/>
      <w:r w:rsidRPr="00325D48">
        <w:rPr>
          <w:rFonts w:ascii="Arial" w:eastAsia="Times New Roman" w:hAnsi="Arial" w:cs="Arial"/>
          <w:b/>
          <w:bCs/>
          <w:sz w:val="24"/>
          <w:szCs w:val="24"/>
        </w:rPr>
        <w:t>FHC</w:t>
      </w:r>
      <w:proofErr w:type="spellEnd"/>
      <w:r w:rsidRPr="00325D48">
        <w:rPr>
          <w:rFonts w:ascii="Arial" w:eastAsia="Times New Roman" w:hAnsi="Arial" w:cs="Arial"/>
          <w:b/>
          <w:bCs/>
          <w:sz w:val="24"/>
          <w:szCs w:val="24"/>
        </w:rPr>
        <w:t>/</w:t>
      </w:r>
      <w:proofErr w:type="spellStart"/>
      <w:r w:rsidRPr="00325D48">
        <w:rPr>
          <w:rFonts w:ascii="Arial" w:eastAsia="Times New Roman" w:hAnsi="Arial" w:cs="Arial"/>
          <w:b/>
          <w:bCs/>
          <w:sz w:val="24"/>
          <w:szCs w:val="24"/>
        </w:rPr>
        <w:t>ABJ</w:t>
      </w:r>
      <w:proofErr w:type="spellEnd"/>
      <w:r w:rsidRPr="00325D48">
        <w:rPr>
          <w:rFonts w:ascii="Arial" w:eastAsia="Times New Roman" w:hAnsi="Arial" w:cs="Arial"/>
          <w:b/>
          <w:bCs/>
          <w:sz w:val="24"/>
          <w:szCs w:val="24"/>
        </w:rPr>
        <w:t>/CS/1426/2026)</w:t>
      </w:r>
      <w:r w:rsidRPr="00325D48">
        <w:rPr>
          <w:rFonts w:ascii="Arial" w:eastAsia="Times New Roman" w:hAnsi="Arial" w:cs="Arial"/>
          <w:sz w:val="24"/>
          <w:szCs w:val="24"/>
        </w:rPr>
        <w:t xml:space="preserve">, litigators approached the Federal High Court to challenge </w:t>
      </w:r>
      <w:proofErr w:type="spellStart"/>
      <w:r w:rsidRPr="00325D48">
        <w:rPr>
          <w:rFonts w:ascii="Arial" w:eastAsia="Times New Roman" w:hAnsi="Arial" w:cs="Arial"/>
          <w:sz w:val="24"/>
          <w:szCs w:val="24"/>
        </w:rPr>
        <w:t>INEC's</w:t>
      </w:r>
      <w:proofErr w:type="spellEnd"/>
      <w:r w:rsidRPr="00325D48">
        <w:rPr>
          <w:rFonts w:ascii="Arial" w:eastAsia="Times New Roman" w:hAnsi="Arial" w:cs="Arial"/>
          <w:sz w:val="24"/>
          <w:szCs w:val="24"/>
        </w:rPr>
        <w:t xml:space="preserve"> historic inaction over the alleged diversion of over ₦800 billion from the Federation Account Allocation Committee (</w:t>
      </w:r>
      <w:proofErr w:type="spellStart"/>
      <w:r w:rsidRPr="00325D48">
        <w:rPr>
          <w:rFonts w:ascii="Arial" w:eastAsia="Times New Roman" w:hAnsi="Arial" w:cs="Arial"/>
          <w:sz w:val="24"/>
          <w:szCs w:val="24"/>
        </w:rPr>
        <w:t>FAAC</w:t>
      </w:r>
      <w:proofErr w:type="spellEnd"/>
      <w:r w:rsidRPr="00325D48">
        <w:rPr>
          <w:rFonts w:ascii="Arial" w:eastAsia="Times New Roman" w:hAnsi="Arial" w:cs="Arial"/>
          <w:sz w:val="24"/>
          <w:szCs w:val="24"/>
        </w:rPr>
        <w:t xml:space="preserve">) allocations by sitting </w:t>
      </w:r>
      <w:r w:rsidRPr="00325D48">
        <w:rPr>
          <w:rFonts w:ascii="Arial" w:eastAsia="Times New Roman" w:hAnsi="Arial" w:cs="Arial"/>
          <w:sz w:val="24"/>
          <w:szCs w:val="24"/>
        </w:rPr>
        <w:lastRenderedPageBreak/>
        <w:t xml:space="preserve">state executives seeking re-election [4]. The suit seeks to establish a judicial baseline forcing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to exercise its investigative powers over executive campaign coffers.</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 xml:space="preserve">Affirmation of </w:t>
      </w:r>
      <w:proofErr w:type="spellStart"/>
      <w:r w:rsidRPr="00325D48">
        <w:rPr>
          <w:rFonts w:ascii="Arial" w:eastAsia="Times New Roman" w:hAnsi="Arial" w:cs="Arial"/>
          <w:b/>
          <w:bCs/>
          <w:sz w:val="24"/>
          <w:szCs w:val="24"/>
        </w:rPr>
        <w:t>INEC’s</w:t>
      </w:r>
      <w:proofErr w:type="spellEnd"/>
      <w:r w:rsidRPr="00325D48">
        <w:rPr>
          <w:rFonts w:ascii="Arial" w:eastAsia="Times New Roman" w:hAnsi="Arial" w:cs="Arial"/>
          <w:b/>
          <w:bCs/>
          <w:sz w:val="24"/>
          <w:szCs w:val="24"/>
        </w:rPr>
        <w:t xml:space="preserve"> Strict Regulatory Mandates</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In a clarifying judgment delivered by a unanimous 7-member panel of the Supreme Court of Nigeria, the apex court upheld the constitutionality of </w:t>
      </w:r>
      <w:proofErr w:type="spellStart"/>
      <w:r w:rsidRPr="00325D48">
        <w:rPr>
          <w:rFonts w:ascii="Arial" w:eastAsia="Times New Roman" w:hAnsi="Arial" w:cs="Arial"/>
          <w:sz w:val="24"/>
          <w:szCs w:val="24"/>
        </w:rPr>
        <w:t>INEC's</w:t>
      </w:r>
      <w:proofErr w:type="spellEnd"/>
      <w:r w:rsidRPr="00325D48">
        <w:rPr>
          <w:rFonts w:ascii="Arial" w:eastAsia="Times New Roman" w:hAnsi="Arial" w:cs="Arial"/>
          <w:sz w:val="24"/>
          <w:szCs w:val="24"/>
        </w:rPr>
        <w:t xml:space="preserve"> stringent regulatory inputs under the Electoral Act 2026. The Court held that strict timelines—such as the mandatory 21-day electronic submission of party registers prior to primaries—do not infringe upon the constitutional right to freedom of association. Instead, they constitute legitimate, non-retroactive regulatory mechanisms necessary to safeguard democratic integrity.</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6. The Comparative Roles of the Bar and the Bench</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The enforcement of political financing rules depends entirely on the institutional interaction between the </w:t>
      </w:r>
      <w:r w:rsidRPr="00325D48">
        <w:rPr>
          <w:rFonts w:ascii="Arial" w:eastAsia="Times New Roman" w:hAnsi="Arial" w:cs="Arial"/>
          <w:b/>
          <w:bCs/>
          <w:sz w:val="24"/>
          <w:szCs w:val="24"/>
        </w:rPr>
        <w:t>Bar (the legal profession)</w:t>
      </w:r>
      <w:r w:rsidRPr="00325D48">
        <w:rPr>
          <w:rFonts w:ascii="Arial" w:eastAsia="Times New Roman" w:hAnsi="Arial" w:cs="Arial"/>
          <w:sz w:val="24"/>
          <w:szCs w:val="24"/>
        </w:rPr>
        <w:t xml:space="preserve"> and the </w:t>
      </w:r>
      <w:r w:rsidRPr="00325D48">
        <w:rPr>
          <w:rFonts w:ascii="Arial" w:eastAsia="Times New Roman" w:hAnsi="Arial" w:cs="Arial"/>
          <w:b/>
          <w:bCs/>
          <w:sz w:val="24"/>
          <w:szCs w:val="24"/>
        </w:rPr>
        <w:t>Bench (the judiciary)</w:t>
      </w:r>
      <w:r w:rsidRPr="00325D48">
        <w:rPr>
          <w:rFonts w:ascii="Arial" w:eastAsia="Times New Roman" w:hAnsi="Arial" w:cs="Arial"/>
          <w:sz w:val="24"/>
          <w:szCs w:val="24"/>
        </w:rPr>
        <w:t xml:space="preserve"> [1, 16].</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The Bench as the Democratic Guardrail</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The judiciary remains the final arbiter of electoral integrity. However, judges face significant structural limitations [1]. Public interest reviews by organizations like the Policy and Legal Advocacy Centre (</w:t>
      </w:r>
      <w:proofErr w:type="spellStart"/>
      <w:r w:rsidRPr="00325D48">
        <w:rPr>
          <w:rFonts w:ascii="Arial" w:eastAsia="Times New Roman" w:hAnsi="Arial" w:cs="Arial"/>
          <w:sz w:val="24"/>
          <w:szCs w:val="24"/>
        </w:rPr>
        <w:t>PLAC</w:t>
      </w:r>
      <w:proofErr w:type="spellEnd"/>
      <w:r w:rsidRPr="00325D48">
        <w:rPr>
          <w:rFonts w:ascii="Arial" w:eastAsia="Times New Roman" w:hAnsi="Arial" w:cs="Arial"/>
          <w:sz w:val="24"/>
          <w:szCs w:val="24"/>
        </w:rPr>
        <w:t>) Nigeria note that the Bench cannot act as a financial auditor on its own [5].</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Without a formalized, permanent, and digitally equipped Campaign Finance Monitoring Unit within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prosecutors routinely fail to present the complex forensic accounting and bank metadata required to secure convictions [1]. Consequently, judges are often forced to dismiss campaign finance suits due to a lack of clear, admissible proof, leaving the law technically un-enforced against elite political figures [1].</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The Bar's Dual and Conflicting Mandate</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The Nigerian Bar holds a highly complex, dual position within this framework [1]:</w:t>
      </w:r>
    </w:p>
    <w:p w:rsidR="00325D48" w:rsidRPr="00325D48" w:rsidRDefault="00325D48" w:rsidP="00325D48">
      <w:pPr>
        <w:numPr>
          <w:ilvl w:val="0"/>
          <w:numId w:val="2"/>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lastRenderedPageBreak/>
        <w:t>As Architects of Transparency:</w:t>
      </w:r>
      <w:r w:rsidRPr="00325D48">
        <w:rPr>
          <w:rFonts w:ascii="Arial" w:eastAsia="Times New Roman" w:hAnsi="Arial" w:cs="Arial"/>
          <w:sz w:val="24"/>
          <w:szCs w:val="24"/>
        </w:rPr>
        <w:t xml:space="preserve"> Reform-minded legal practitioners and Senior Advocates of Nigeria (</w:t>
      </w:r>
      <w:proofErr w:type="spellStart"/>
      <w:r w:rsidRPr="00325D48">
        <w:rPr>
          <w:rFonts w:ascii="Arial" w:eastAsia="Times New Roman" w:hAnsi="Arial" w:cs="Arial"/>
          <w:sz w:val="24"/>
          <w:szCs w:val="24"/>
        </w:rPr>
        <w:t>SANs</w:t>
      </w:r>
      <w:proofErr w:type="spellEnd"/>
      <w:r w:rsidRPr="00325D48">
        <w:rPr>
          <w:rFonts w:ascii="Arial" w:eastAsia="Times New Roman" w:hAnsi="Arial" w:cs="Arial"/>
          <w:sz w:val="24"/>
          <w:szCs w:val="24"/>
        </w:rPr>
        <w:t xml:space="preserve">) routinely partner with civil society organizations [1]. They deploy the </w:t>
      </w:r>
      <w:r w:rsidRPr="00325D48">
        <w:rPr>
          <w:rFonts w:ascii="Arial" w:eastAsia="Times New Roman" w:hAnsi="Arial" w:cs="Arial"/>
          <w:b/>
          <w:bCs/>
          <w:sz w:val="24"/>
          <w:szCs w:val="24"/>
        </w:rPr>
        <w:t>Freedom of Information (</w:t>
      </w:r>
      <w:proofErr w:type="spellStart"/>
      <w:r w:rsidRPr="00325D48">
        <w:rPr>
          <w:rFonts w:ascii="Arial" w:eastAsia="Times New Roman" w:hAnsi="Arial" w:cs="Arial"/>
          <w:b/>
          <w:bCs/>
          <w:sz w:val="24"/>
          <w:szCs w:val="24"/>
        </w:rPr>
        <w:t>FOI</w:t>
      </w:r>
      <w:proofErr w:type="spellEnd"/>
      <w:r w:rsidRPr="00325D48">
        <w:rPr>
          <w:rFonts w:ascii="Arial" w:eastAsia="Times New Roman" w:hAnsi="Arial" w:cs="Arial"/>
          <w:b/>
          <w:bCs/>
          <w:sz w:val="24"/>
          <w:szCs w:val="24"/>
        </w:rPr>
        <w:t>) Act</w:t>
      </w:r>
      <w:r w:rsidRPr="00325D48">
        <w:rPr>
          <w:rFonts w:ascii="Arial" w:eastAsia="Times New Roman" w:hAnsi="Arial" w:cs="Arial"/>
          <w:sz w:val="24"/>
          <w:szCs w:val="24"/>
        </w:rPr>
        <w:t xml:space="preserve"> to draft sophisticated public interest lawsuits, demanding a transparent accounting of political donations and the over ₦126 billion allocated for general electoral logistics [1].</w:t>
      </w:r>
    </w:p>
    <w:p w:rsidR="00325D48" w:rsidRPr="00325D48" w:rsidRDefault="00325D48" w:rsidP="00325D48">
      <w:pPr>
        <w:numPr>
          <w:ilvl w:val="0"/>
          <w:numId w:val="2"/>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As Facilitators of Abuse:</w:t>
      </w:r>
      <w:r w:rsidRPr="00325D48">
        <w:rPr>
          <w:rFonts w:ascii="Arial" w:eastAsia="Times New Roman" w:hAnsi="Arial" w:cs="Arial"/>
          <w:sz w:val="24"/>
          <w:szCs w:val="24"/>
        </w:rPr>
        <w:t xml:space="preserve"> Conversely, certain elements within the Bar act as legal shields for corrupt political actors [1]. Through the highly criticized practice of "forum shopping" and the deployment of frivolous </w:t>
      </w:r>
      <w:r w:rsidRPr="00325D48">
        <w:rPr>
          <w:rFonts w:ascii="Arial" w:eastAsia="Times New Roman" w:hAnsi="Arial" w:cs="Arial"/>
          <w:i/>
          <w:iCs/>
          <w:sz w:val="24"/>
          <w:szCs w:val="24"/>
        </w:rPr>
        <w:t>ex parte</w:t>
      </w:r>
      <w:r w:rsidRPr="00325D48">
        <w:rPr>
          <w:rFonts w:ascii="Arial" w:eastAsia="Times New Roman" w:hAnsi="Arial" w:cs="Arial"/>
          <w:sz w:val="24"/>
          <w:szCs w:val="24"/>
        </w:rPr>
        <w:t xml:space="preserve"> injunctions or interlocutory appeals, certain lawyers actively seek to stall statutory financial audits and shield their clients from investigation [1].</w:t>
      </w:r>
    </w:p>
    <w:p w:rsidR="00325D48" w:rsidRPr="00325D48" w:rsidRDefault="00325D48" w:rsidP="00325D48">
      <w:pPr>
        <w:spacing w:before="240"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To combat this, the </w:t>
      </w:r>
      <w:r w:rsidRPr="00325D48">
        <w:rPr>
          <w:rFonts w:ascii="Arial" w:eastAsia="Times New Roman" w:hAnsi="Arial" w:cs="Arial"/>
          <w:b/>
          <w:bCs/>
          <w:sz w:val="24"/>
          <w:szCs w:val="24"/>
        </w:rPr>
        <w:t>Nigerian Bar Association (NBA)</w:t>
      </w:r>
      <w:r w:rsidRPr="00325D48">
        <w:rPr>
          <w:rFonts w:ascii="Arial" w:eastAsia="Times New Roman" w:hAnsi="Arial" w:cs="Arial"/>
          <w:sz w:val="24"/>
          <w:szCs w:val="24"/>
        </w:rPr>
        <w:t xml:space="preserve"> issued an explicit National Executive Council (NEC) directive warning that any practitioner who uses tactical judicial bottlenecks to delay electoral accountability will face swift disciplinary prosecution before the </w:t>
      </w:r>
      <w:r w:rsidRPr="00325D48">
        <w:rPr>
          <w:rFonts w:ascii="Arial" w:eastAsia="Times New Roman" w:hAnsi="Arial" w:cs="Arial"/>
          <w:b/>
          <w:bCs/>
          <w:sz w:val="24"/>
          <w:szCs w:val="24"/>
        </w:rPr>
        <w:t>Legal Practitioners Disciplinary Committee (</w:t>
      </w:r>
      <w:proofErr w:type="spellStart"/>
      <w:r w:rsidRPr="00325D48">
        <w:rPr>
          <w:rFonts w:ascii="Arial" w:eastAsia="Times New Roman" w:hAnsi="Arial" w:cs="Arial"/>
          <w:b/>
          <w:bCs/>
          <w:sz w:val="24"/>
          <w:szCs w:val="24"/>
        </w:rPr>
        <w:t>LPDC</w:t>
      </w:r>
      <w:proofErr w:type="spellEnd"/>
      <w:r w:rsidRPr="00325D48">
        <w:rPr>
          <w:rFonts w:ascii="Arial" w:eastAsia="Times New Roman" w:hAnsi="Arial" w:cs="Arial"/>
          <w:b/>
          <w:bCs/>
          <w:sz w:val="24"/>
          <w:szCs w:val="24"/>
        </w:rPr>
        <w:t>)</w:t>
      </w:r>
      <w:r w:rsidRPr="00325D48">
        <w:rPr>
          <w:rFonts w:ascii="Arial" w:eastAsia="Times New Roman" w:hAnsi="Arial" w:cs="Arial"/>
          <w:sz w:val="24"/>
          <w:szCs w:val="24"/>
        </w:rPr>
        <w:t xml:space="preserve"> [1, 6].</w:t>
      </w:r>
    </w:p>
    <w:p w:rsidR="00325D48" w:rsidRPr="00325D48" w:rsidRDefault="00325D48" w:rsidP="00325D48">
      <w:pPr>
        <w:spacing w:after="0" w:line="360" w:lineRule="auto"/>
        <w:jc w:val="both"/>
        <w:rPr>
          <w:rFonts w:ascii="Arial" w:eastAsia="Times New Roman" w:hAnsi="Arial" w:cs="Arial"/>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7. Prospects, Strategic Recommendations, and Conclusion</w:t>
      </w: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Prospects for Structural Transformation</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The future of political finance accountability in Nigeria rests on two primary technological and legal pillars:</w:t>
      </w:r>
    </w:p>
    <w:p w:rsidR="00325D48" w:rsidRPr="00325D48" w:rsidRDefault="00325D48" w:rsidP="00325D48">
      <w:pPr>
        <w:numPr>
          <w:ilvl w:val="0"/>
          <w:numId w:val="3"/>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 xml:space="preserve">Integration of Digital </w:t>
      </w:r>
      <w:proofErr w:type="spellStart"/>
      <w:r w:rsidRPr="00325D48">
        <w:rPr>
          <w:rFonts w:ascii="Arial" w:eastAsia="Times New Roman" w:hAnsi="Arial" w:cs="Arial"/>
          <w:b/>
          <w:bCs/>
          <w:sz w:val="24"/>
          <w:szCs w:val="24"/>
        </w:rPr>
        <w:t>FinTech</w:t>
      </w:r>
      <w:proofErr w:type="spellEnd"/>
      <w:r w:rsidRPr="00325D48">
        <w:rPr>
          <w:rFonts w:ascii="Arial" w:eastAsia="Times New Roman" w:hAnsi="Arial" w:cs="Arial"/>
          <w:b/>
          <w:bCs/>
          <w:sz w:val="24"/>
          <w:szCs w:val="24"/>
        </w:rPr>
        <w:t xml:space="preserve"> Tracking:</w:t>
      </w:r>
      <w:r w:rsidRPr="00325D48">
        <w:rPr>
          <w:rFonts w:ascii="Arial" w:eastAsia="Times New Roman" w:hAnsi="Arial" w:cs="Arial"/>
          <w:sz w:val="24"/>
          <w:szCs w:val="24"/>
        </w:rPr>
        <w:t xml:space="preserve"> By linking Bank Verification Numbers (</w:t>
      </w:r>
      <w:proofErr w:type="spellStart"/>
      <w:r w:rsidRPr="00325D48">
        <w:rPr>
          <w:rFonts w:ascii="Arial" w:eastAsia="Times New Roman" w:hAnsi="Arial" w:cs="Arial"/>
          <w:sz w:val="24"/>
          <w:szCs w:val="24"/>
        </w:rPr>
        <w:t>BVN</w:t>
      </w:r>
      <w:proofErr w:type="spellEnd"/>
      <w:r w:rsidRPr="00325D48">
        <w:rPr>
          <w:rFonts w:ascii="Arial" w:eastAsia="Times New Roman" w:hAnsi="Arial" w:cs="Arial"/>
          <w:sz w:val="24"/>
          <w:szCs w:val="24"/>
        </w:rPr>
        <w:t xml:space="preserve">), National Identification Numbers (NIN), and political parties’ dedicated campaign account numbers into a centralized database, </w:t>
      </w:r>
      <w:proofErr w:type="spellStart"/>
      <w:r w:rsidRPr="00325D48">
        <w:rPr>
          <w:rFonts w:ascii="Arial" w:eastAsia="Times New Roman" w:hAnsi="Arial" w:cs="Arial"/>
          <w:sz w:val="24"/>
          <w:szCs w:val="24"/>
        </w:rPr>
        <w:t>INEC</w:t>
      </w:r>
      <w:proofErr w:type="spellEnd"/>
      <w:r w:rsidRPr="00325D48">
        <w:rPr>
          <w:rFonts w:ascii="Arial" w:eastAsia="Times New Roman" w:hAnsi="Arial" w:cs="Arial"/>
          <w:sz w:val="24"/>
          <w:szCs w:val="24"/>
        </w:rPr>
        <w:t xml:space="preserve"> can move from slow, post-election paper audits to real-time, automated tracking of campaign cash flows.</w:t>
      </w:r>
    </w:p>
    <w:p w:rsidR="00325D48" w:rsidRPr="00325D48" w:rsidRDefault="00325D48" w:rsidP="00325D48">
      <w:pPr>
        <w:numPr>
          <w:ilvl w:val="0"/>
          <w:numId w:val="3"/>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Global Financial Intelligence Collaboration:</w:t>
      </w:r>
      <w:r w:rsidRPr="00325D48">
        <w:rPr>
          <w:rFonts w:ascii="Arial" w:eastAsia="Times New Roman" w:hAnsi="Arial" w:cs="Arial"/>
          <w:sz w:val="24"/>
          <w:szCs w:val="24"/>
        </w:rPr>
        <w:t xml:space="preserve"> Utilizing the statutory prohibitions against offshore funding, the Nigerian Financial Intelligence Unit (</w:t>
      </w:r>
      <w:proofErr w:type="spellStart"/>
      <w:r w:rsidRPr="00325D48">
        <w:rPr>
          <w:rFonts w:ascii="Arial" w:eastAsia="Times New Roman" w:hAnsi="Arial" w:cs="Arial"/>
          <w:sz w:val="24"/>
          <w:szCs w:val="24"/>
        </w:rPr>
        <w:t>NFIU</w:t>
      </w:r>
      <w:proofErr w:type="spellEnd"/>
      <w:r w:rsidRPr="00325D48">
        <w:rPr>
          <w:rFonts w:ascii="Arial" w:eastAsia="Times New Roman" w:hAnsi="Arial" w:cs="Arial"/>
          <w:sz w:val="24"/>
          <w:szCs w:val="24"/>
        </w:rPr>
        <w:t>) can collaborate with international networks like the Financial Action Task Force (</w:t>
      </w:r>
      <w:proofErr w:type="spellStart"/>
      <w:r w:rsidRPr="00325D48">
        <w:rPr>
          <w:rFonts w:ascii="Arial" w:eastAsia="Times New Roman" w:hAnsi="Arial" w:cs="Arial"/>
          <w:sz w:val="24"/>
          <w:szCs w:val="24"/>
        </w:rPr>
        <w:t>FATF</w:t>
      </w:r>
      <w:proofErr w:type="spellEnd"/>
      <w:r w:rsidRPr="00325D48">
        <w:rPr>
          <w:rFonts w:ascii="Arial" w:eastAsia="Times New Roman" w:hAnsi="Arial" w:cs="Arial"/>
          <w:sz w:val="24"/>
          <w:szCs w:val="24"/>
        </w:rPr>
        <w:t>) to intercept illegal diaspora or foreign corporate funding routed into domestic party machinery [2, 3].</w:t>
      </w:r>
    </w:p>
    <w:p w:rsidR="00325D48" w:rsidRDefault="00325D48" w:rsidP="00325D48">
      <w:pPr>
        <w:spacing w:after="0" w:line="360" w:lineRule="auto"/>
        <w:jc w:val="both"/>
        <w:rPr>
          <w:rFonts w:ascii="Arial" w:eastAsia="Times New Roman" w:hAnsi="Arial" w:cs="Arial"/>
          <w:b/>
          <w:bCs/>
          <w:sz w:val="24"/>
          <w:szCs w:val="24"/>
        </w:rPr>
      </w:pPr>
    </w:p>
    <w:p w:rsidR="00650890" w:rsidRDefault="00650890">
      <w:pPr>
        <w:rPr>
          <w:rFonts w:ascii="Arial" w:eastAsia="Times New Roman" w:hAnsi="Arial" w:cs="Arial"/>
          <w:b/>
          <w:bCs/>
          <w:sz w:val="24"/>
          <w:szCs w:val="24"/>
        </w:rPr>
      </w:pPr>
      <w:r>
        <w:rPr>
          <w:rFonts w:ascii="Arial" w:eastAsia="Times New Roman" w:hAnsi="Arial" w:cs="Arial"/>
          <w:b/>
          <w:bCs/>
          <w:sz w:val="24"/>
          <w:szCs w:val="24"/>
        </w:rPr>
        <w:br w:type="page"/>
      </w: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lastRenderedPageBreak/>
        <w:t>Strategic Recommendations</w:t>
      </w: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 xml:space="preserve">1. </w:t>
      </w:r>
      <w:proofErr w:type="gramStart"/>
      <w:r w:rsidRPr="00325D48">
        <w:rPr>
          <w:rFonts w:ascii="Arial" w:eastAsia="Times New Roman" w:hAnsi="Arial" w:cs="Arial"/>
          <w:b/>
          <w:bCs/>
          <w:sz w:val="24"/>
          <w:szCs w:val="24"/>
        </w:rPr>
        <w:t>For</w:t>
      </w:r>
      <w:proofErr w:type="gramEnd"/>
      <w:r w:rsidRPr="00325D48">
        <w:rPr>
          <w:rFonts w:ascii="Arial" w:eastAsia="Times New Roman" w:hAnsi="Arial" w:cs="Arial"/>
          <w:b/>
          <w:bCs/>
          <w:sz w:val="24"/>
          <w:szCs w:val="24"/>
        </w:rPr>
        <w:t xml:space="preserve"> the Bench (The Judiciary)</w:t>
      </w:r>
    </w:p>
    <w:p w:rsidR="00325D48" w:rsidRPr="00325D48" w:rsidRDefault="00325D48" w:rsidP="00325D48">
      <w:pPr>
        <w:numPr>
          <w:ilvl w:val="0"/>
          <w:numId w:val="4"/>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Issue Clear Rules on Financial Evidence:</w:t>
      </w:r>
      <w:r w:rsidRPr="00325D48">
        <w:rPr>
          <w:rFonts w:ascii="Arial" w:eastAsia="Times New Roman" w:hAnsi="Arial" w:cs="Arial"/>
          <w:sz w:val="24"/>
          <w:szCs w:val="24"/>
        </w:rPr>
        <w:t xml:space="preserve"> The National Judicial Council (</w:t>
      </w:r>
      <w:proofErr w:type="spellStart"/>
      <w:r w:rsidRPr="00325D48">
        <w:rPr>
          <w:rFonts w:ascii="Arial" w:eastAsia="Times New Roman" w:hAnsi="Arial" w:cs="Arial"/>
          <w:sz w:val="24"/>
          <w:szCs w:val="24"/>
        </w:rPr>
        <w:t>NJC</w:t>
      </w:r>
      <w:proofErr w:type="spellEnd"/>
      <w:r w:rsidRPr="00325D48">
        <w:rPr>
          <w:rFonts w:ascii="Arial" w:eastAsia="Times New Roman" w:hAnsi="Arial" w:cs="Arial"/>
          <w:sz w:val="24"/>
          <w:szCs w:val="24"/>
        </w:rPr>
        <w:t>) should issue standardized practice directions outlining the precise electronic tracking logs, bank metadata, and forensic audit reports required to prove spending violations, ensuring cases are not dismissed on technicalities [1].</w:t>
      </w:r>
    </w:p>
    <w:p w:rsidR="00325D48" w:rsidRPr="00325D48" w:rsidRDefault="00325D48" w:rsidP="00325D48">
      <w:pPr>
        <w:numPr>
          <w:ilvl w:val="0"/>
          <w:numId w:val="4"/>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Establish Specialized Tribunals:</w:t>
      </w:r>
      <w:r w:rsidRPr="00325D48">
        <w:rPr>
          <w:rFonts w:ascii="Arial" w:eastAsia="Times New Roman" w:hAnsi="Arial" w:cs="Arial"/>
          <w:sz w:val="24"/>
          <w:szCs w:val="24"/>
        </w:rPr>
        <w:t xml:space="preserve"> Designate specialized Electoral Financial Tribunals tasked exclusively with resolving campaign finance violations rapidly, preventing these specialized accountability cases from getting lost in overcrowded court registries [1].</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2. For the Bar (The Legal Profession)</w:t>
      </w:r>
    </w:p>
    <w:p w:rsidR="00325D48" w:rsidRPr="00325D48" w:rsidRDefault="00325D48" w:rsidP="00325D48">
      <w:pPr>
        <w:numPr>
          <w:ilvl w:val="0"/>
          <w:numId w:val="5"/>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Strictly Discipline Professional Misconduct:</w:t>
      </w:r>
      <w:r w:rsidRPr="00325D48">
        <w:rPr>
          <w:rFonts w:ascii="Arial" w:eastAsia="Times New Roman" w:hAnsi="Arial" w:cs="Arial"/>
          <w:sz w:val="24"/>
          <w:szCs w:val="24"/>
        </w:rPr>
        <w:t xml:space="preserve"> The </w:t>
      </w:r>
      <w:proofErr w:type="spellStart"/>
      <w:r w:rsidRPr="00325D48">
        <w:rPr>
          <w:rFonts w:ascii="Arial" w:eastAsia="Times New Roman" w:hAnsi="Arial" w:cs="Arial"/>
          <w:sz w:val="24"/>
          <w:szCs w:val="24"/>
        </w:rPr>
        <w:t>LPDC</w:t>
      </w:r>
      <w:proofErr w:type="spellEnd"/>
      <w:r w:rsidRPr="00325D48">
        <w:rPr>
          <w:rFonts w:ascii="Arial" w:eastAsia="Times New Roman" w:hAnsi="Arial" w:cs="Arial"/>
          <w:sz w:val="24"/>
          <w:szCs w:val="24"/>
        </w:rPr>
        <w:t xml:space="preserve"> must swiftly disbar or suspend practitioners who engage in forum shopping or file frivolous motions designed to shield politicians from statutory finance audits [1, 6].</w:t>
      </w:r>
    </w:p>
    <w:p w:rsidR="00325D48" w:rsidRPr="00325D48" w:rsidRDefault="00325D48" w:rsidP="00325D48">
      <w:pPr>
        <w:numPr>
          <w:ilvl w:val="0"/>
          <w:numId w:val="5"/>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Expand Pro Bono Advocacy:</w:t>
      </w:r>
      <w:r w:rsidRPr="00325D48">
        <w:rPr>
          <w:rFonts w:ascii="Arial" w:eastAsia="Times New Roman" w:hAnsi="Arial" w:cs="Arial"/>
          <w:sz w:val="24"/>
          <w:szCs w:val="24"/>
        </w:rPr>
        <w:t xml:space="preserve"> The NBA should create dedicated public interest law panels to help citizens file structured </w:t>
      </w:r>
      <w:proofErr w:type="spellStart"/>
      <w:r w:rsidRPr="00325D48">
        <w:rPr>
          <w:rFonts w:ascii="Arial" w:eastAsia="Times New Roman" w:hAnsi="Arial" w:cs="Arial"/>
          <w:sz w:val="24"/>
          <w:szCs w:val="24"/>
        </w:rPr>
        <w:t>FOI</w:t>
      </w:r>
      <w:proofErr w:type="spellEnd"/>
      <w:r w:rsidRPr="00325D48">
        <w:rPr>
          <w:rFonts w:ascii="Arial" w:eastAsia="Times New Roman" w:hAnsi="Arial" w:cs="Arial"/>
          <w:sz w:val="24"/>
          <w:szCs w:val="24"/>
        </w:rPr>
        <w:t xml:space="preserve"> requests targeting political donor lists and party expenditure ledgers [1].</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 xml:space="preserve">3. </w:t>
      </w:r>
      <w:proofErr w:type="gramStart"/>
      <w:r w:rsidRPr="00325D48">
        <w:rPr>
          <w:rFonts w:ascii="Arial" w:eastAsia="Times New Roman" w:hAnsi="Arial" w:cs="Arial"/>
          <w:b/>
          <w:bCs/>
          <w:sz w:val="24"/>
          <w:szCs w:val="24"/>
        </w:rPr>
        <w:t>For</w:t>
      </w:r>
      <w:proofErr w:type="gramEnd"/>
      <w:r w:rsidRPr="00325D48">
        <w:rPr>
          <w:rFonts w:ascii="Arial" w:eastAsia="Times New Roman" w:hAnsi="Arial" w:cs="Arial"/>
          <w:b/>
          <w:bCs/>
          <w:sz w:val="24"/>
          <w:szCs w:val="24"/>
        </w:rPr>
        <w:t xml:space="preserve"> the Independent National Electoral Commission (</w:t>
      </w:r>
      <w:proofErr w:type="spellStart"/>
      <w:r w:rsidRPr="00325D48">
        <w:rPr>
          <w:rFonts w:ascii="Arial" w:eastAsia="Times New Roman" w:hAnsi="Arial" w:cs="Arial"/>
          <w:b/>
          <w:bCs/>
          <w:sz w:val="24"/>
          <w:szCs w:val="24"/>
        </w:rPr>
        <w:t>INEC</w:t>
      </w:r>
      <w:proofErr w:type="spellEnd"/>
      <w:r w:rsidRPr="00325D48">
        <w:rPr>
          <w:rFonts w:ascii="Arial" w:eastAsia="Times New Roman" w:hAnsi="Arial" w:cs="Arial"/>
          <w:b/>
          <w:bCs/>
          <w:sz w:val="24"/>
          <w:szCs w:val="24"/>
        </w:rPr>
        <w:t>)</w:t>
      </w:r>
    </w:p>
    <w:p w:rsidR="00325D48" w:rsidRPr="00325D48" w:rsidRDefault="00325D48" w:rsidP="00325D48">
      <w:pPr>
        <w:numPr>
          <w:ilvl w:val="0"/>
          <w:numId w:val="6"/>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Launch an Open Disclosure Portal:</w:t>
      </w:r>
      <w:r w:rsidRPr="00325D48">
        <w:rPr>
          <w:rFonts w:ascii="Arial" w:eastAsia="Times New Roman" w:hAnsi="Arial" w:cs="Arial"/>
          <w:sz w:val="24"/>
          <w:szCs w:val="24"/>
        </w:rPr>
        <w:t xml:space="preserve"> Fully operationalize an automated, publicly accessible digital tracking portal where political parties must upload all contributions and expenditures in real-time [3].</w:t>
      </w:r>
    </w:p>
    <w:p w:rsidR="00325D48" w:rsidRPr="00325D48" w:rsidRDefault="00325D48" w:rsidP="00325D48">
      <w:pPr>
        <w:numPr>
          <w:ilvl w:val="0"/>
          <w:numId w:val="6"/>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Establish a Forensic Audit Unit:</w:t>
      </w:r>
      <w:r w:rsidRPr="00325D48">
        <w:rPr>
          <w:rFonts w:ascii="Arial" w:eastAsia="Times New Roman" w:hAnsi="Arial" w:cs="Arial"/>
          <w:sz w:val="24"/>
          <w:szCs w:val="24"/>
        </w:rPr>
        <w:t xml:space="preserve"> Move away from ad-hoc financial tracking committees by establishing a permanent Campaign Finance Monitoring and Audit Unit staffed with certified forensic accountants [1].</w:t>
      </w:r>
    </w:p>
    <w:p w:rsidR="00325D48" w:rsidRDefault="00325D48" w:rsidP="00325D48">
      <w:pPr>
        <w:spacing w:after="0" w:line="360" w:lineRule="auto"/>
        <w:jc w:val="both"/>
        <w:rPr>
          <w:rFonts w:ascii="Arial" w:eastAsia="Times New Roman" w:hAnsi="Arial" w:cs="Arial"/>
          <w:b/>
          <w:bCs/>
          <w:sz w:val="24"/>
          <w:szCs w:val="24"/>
        </w:rPr>
      </w:pPr>
    </w:p>
    <w:p w:rsidR="00325D48" w:rsidRPr="00325D48" w:rsidRDefault="00325D48" w:rsidP="00325D48">
      <w:pPr>
        <w:spacing w:after="0" w:line="360" w:lineRule="auto"/>
        <w:jc w:val="both"/>
        <w:rPr>
          <w:rFonts w:ascii="Arial" w:eastAsia="Times New Roman" w:hAnsi="Arial" w:cs="Arial"/>
          <w:b/>
          <w:bCs/>
          <w:sz w:val="24"/>
          <w:szCs w:val="24"/>
        </w:rPr>
      </w:pPr>
      <w:r w:rsidRPr="00325D48">
        <w:rPr>
          <w:rFonts w:ascii="Arial" w:eastAsia="Times New Roman" w:hAnsi="Arial" w:cs="Arial"/>
          <w:b/>
          <w:bCs/>
          <w:sz w:val="24"/>
          <w:szCs w:val="24"/>
        </w:rPr>
        <w:t>Conclusion</w:t>
      </w:r>
    </w:p>
    <w:p w:rsidR="00325D48" w:rsidRPr="00325D48" w:rsidRDefault="00325D48" w:rsidP="00325D48">
      <w:pPr>
        <w:spacing w:after="0" w:line="360" w:lineRule="auto"/>
        <w:jc w:val="both"/>
        <w:rPr>
          <w:rFonts w:ascii="Arial" w:eastAsia="Times New Roman" w:hAnsi="Arial" w:cs="Arial"/>
          <w:sz w:val="24"/>
          <w:szCs w:val="24"/>
        </w:rPr>
      </w:pPr>
      <w:r w:rsidRPr="00325D48">
        <w:rPr>
          <w:rFonts w:ascii="Arial" w:eastAsia="Times New Roman" w:hAnsi="Arial" w:cs="Arial"/>
          <w:sz w:val="24"/>
          <w:szCs w:val="24"/>
        </w:rPr>
        <w:t xml:space="preserve">The Electoral Act 2026 and the 1999 Constitution provide Nigeria with a modern and comprehensive legal framework on paper to combat the distorting influence of money in politics [2, 3]. However, the actual enforcement of these laws depends heavily on the </w:t>
      </w:r>
      <w:r w:rsidRPr="00325D48">
        <w:rPr>
          <w:rFonts w:ascii="Arial" w:eastAsia="Times New Roman" w:hAnsi="Arial" w:cs="Arial"/>
          <w:sz w:val="24"/>
          <w:szCs w:val="24"/>
        </w:rPr>
        <w:lastRenderedPageBreak/>
        <w:t>vigilance and professional integrity of the Bar and the Bench [1]. By adopting automated digital tracking tools, enforcing strict professional discipline against abusive litigation tactics, and establishing clear evidentiary standards for financial crimes, Nigeria can protect its democratic institutions from corporate capture and ensure that popular sovereignty remains uncompromised [1, 3].</w:t>
      </w:r>
    </w:p>
    <w:p w:rsidR="00325D48" w:rsidRPr="00325D48" w:rsidRDefault="00325D48" w:rsidP="00325D48">
      <w:pPr>
        <w:spacing w:after="0" w:line="360" w:lineRule="auto"/>
        <w:jc w:val="both"/>
        <w:rPr>
          <w:rFonts w:ascii="Arial" w:eastAsia="Times New Roman" w:hAnsi="Arial" w:cs="Arial"/>
          <w:sz w:val="24"/>
          <w:szCs w:val="24"/>
        </w:rPr>
      </w:pPr>
    </w:p>
    <w:p w:rsidR="00325D48" w:rsidRDefault="00325D48">
      <w:pPr>
        <w:rPr>
          <w:rFonts w:ascii="Arial" w:eastAsia="Times New Roman" w:hAnsi="Arial" w:cs="Arial"/>
          <w:b/>
          <w:bCs/>
          <w:sz w:val="24"/>
          <w:szCs w:val="24"/>
        </w:rPr>
      </w:pPr>
      <w:r>
        <w:rPr>
          <w:rFonts w:ascii="Arial" w:eastAsia="Times New Roman" w:hAnsi="Arial" w:cs="Arial"/>
          <w:b/>
          <w:bCs/>
          <w:sz w:val="24"/>
          <w:szCs w:val="24"/>
        </w:rPr>
        <w:br w:type="page"/>
      </w:r>
    </w:p>
    <w:p w:rsidR="00325D48" w:rsidRPr="00325D48" w:rsidRDefault="00325D48" w:rsidP="00650890">
      <w:pPr>
        <w:spacing w:after="0" w:line="360" w:lineRule="auto"/>
        <w:jc w:val="center"/>
        <w:rPr>
          <w:rFonts w:ascii="Arial" w:eastAsia="Times New Roman" w:hAnsi="Arial" w:cs="Arial"/>
          <w:b/>
          <w:bCs/>
          <w:sz w:val="28"/>
          <w:szCs w:val="24"/>
        </w:rPr>
      </w:pPr>
      <w:r w:rsidRPr="00325D48">
        <w:rPr>
          <w:rFonts w:ascii="Arial" w:eastAsia="Times New Roman" w:hAnsi="Arial" w:cs="Arial"/>
          <w:b/>
          <w:bCs/>
          <w:sz w:val="28"/>
          <w:szCs w:val="24"/>
        </w:rPr>
        <w:lastRenderedPageBreak/>
        <w:t>Endnotes and References</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i/>
          <w:iCs/>
          <w:sz w:val="24"/>
          <w:szCs w:val="24"/>
        </w:rPr>
        <w:t>Socio-Economic Rights and Accountability Project (</w:t>
      </w:r>
      <w:proofErr w:type="spellStart"/>
      <w:r w:rsidRPr="00325D48">
        <w:rPr>
          <w:rFonts w:ascii="Arial" w:eastAsia="Times New Roman" w:hAnsi="Arial" w:cs="Arial"/>
          <w:b/>
          <w:bCs/>
          <w:i/>
          <w:iCs/>
          <w:sz w:val="24"/>
          <w:szCs w:val="24"/>
        </w:rPr>
        <w:t>SERAP</w:t>
      </w:r>
      <w:proofErr w:type="spellEnd"/>
      <w:r w:rsidRPr="00325D48">
        <w:rPr>
          <w:rFonts w:ascii="Arial" w:eastAsia="Times New Roman" w:hAnsi="Arial" w:cs="Arial"/>
          <w:b/>
          <w:bCs/>
          <w:i/>
          <w:iCs/>
          <w:sz w:val="24"/>
          <w:szCs w:val="24"/>
        </w:rPr>
        <w:t xml:space="preserve">) v. </w:t>
      </w:r>
      <w:proofErr w:type="spellStart"/>
      <w:r w:rsidRPr="00325D48">
        <w:rPr>
          <w:rFonts w:ascii="Arial" w:eastAsia="Times New Roman" w:hAnsi="Arial" w:cs="Arial"/>
          <w:b/>
          <w:bCs/>
          <w:i/>
          <w:iCs/>
          <w:sz w:val="24"/>
          <w:szCs w:val="24"/>
        </w:rPr>
        <w:t>INEC</w:t>
      </w:r>
      <w:proofErr w:type="spellEnd"/>
      <w:r w:rsidRPr="00325D48">
        <w:rPr>
          <w:rFonts w:ascii="Arial" w:eastAsia="Times New Roman" w:hAnsi="Arial" w:cs="Arial"/>
          <w:sz w:val="24"/>
          <w:szCs w:val="24"/>
        </w:rPr>
        <w:t xml:space="preserve">, Suit No: </w:t>
      </w:r>
      <w:proofErr w:type="spellStart"/>
      <w:r w:rsidRPr="00325D48">
        <w:rPr>
          <w:rFonts w:ascii="Arial" w:eastAsia="Times New Roman" w:hAnsi="Arial" w:cs="Arial"/>
          <w:sz w:val="24"/>
          <w:szCs w:val="24"/>
        </w:rPr>
        <w:t>FHC</w:t>
      </w:r>
      <w:proofErr w:type="spellEnd"/>
      <w:r w:rsidRPr="00325D48">
        <w:rPr>
          <w:rFonts w:ascii="Arial" w:eastAsia="Times New Roman" w:hAnsi="Arial" w:cs="Arial"/>
          <w:sz w:val="24"/>
          <w:szCs w:val="24"/>
        </w:rPr>
        <w:t>/</w:t>
      </w:r>
      <w:proofErr w:type="spellStart"/>
      <w:r w:rsidRPr="00325D48">
        <w:rPr>
          <w:rFonts w:ascii="Arial" w:eastAsia="Times New Roman" w:hAnsi="Arial" w:cs="Arial"/>
          <w:sz w:val="24"/>
          <w:szCs w:val="24"/>
        </w:rPr>
        <w:t>ABJ</w:t>
      </w:r>
      <w:proofErr w:type="spellEnd"/>
      <w:r w:rsidRPr="00325D48">
        <w:rPr>
          <w:rFonts w:ascii="Arial" w:eastAsia="Times New Roman" w:hAnsi="Arial" w:cs="Arial"/>
          <w:sz w:val="24"/>
          <w:szCs w:val="24"/>
        </w:rPr>
        <w:t xml:space="preserve">/CS/2114/2026 (Unreported, Federal High Court, Abuja Division). </w:t>
      </w:r>
      <w:r w:rsidRPr="00325D48">
        <w:rPr>
          <w:rFonts w:ascii="Arial" w:eastAsia="Times New Roman" w:hAnsi="Arial" w:cs="Arial"/>
          <w:i/>
          <w:iCs/>
          <w:sz w:val="24"/>
          <w:szCs w:val="24"/>
        </w:rPr>
        <w:t>Action seeking an order of mandamus to compel publication of digital expenditure tracking frameworks.</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Constitution of the Federal Republic of Nigeria 1999 (as amended)</w:t>
      </w:r>
      <w:r w:rsidRPr="00325D48">
        <w:rPr>
          <w:rFonts w:ascii="Arial" w:eastAsia="Times New Roman" w:hAnsi="Arial" w:cs="Arial"/>
          <w:sz w:val="24"/>
          <w:szCs w:val="24"/>
        </w:rPr>
        <w:t xml:space="preserve">, Section 225. </w:t>
      </w:r>
      <w:r w:rsidRPr="00325D48">
        <w:rPr>
          <w:rFonts w:ascii="Arial" w:eastAsia="Times New Roman" w:hAnsi="Arial" w:cs="Arial"/>
          <w:i/>
          <w:iCs/>
          <w:sz w:val="24"/>
          <w:szCs w:val="24"/>
        </w:rPr>
        <w:t>Establishes the foundational ban on foreign financial retention and general party accounting mandates.</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Electoral Act 2026</w:t>
      </w:r>
      <w:r w:rsidRPr="00325D48">
        <w:rPr>
          <w:rFonts w:ascii="Arial" w:eastAsia="Times New Roman" w:hAnsi="Arial" w:cs="Arial"/>
          <w:sz w:val="24"/>
          <w:szCs w:val="24"/>
        </w:rPr>
        <w:t xml:space="preserve">, Sections 89, 91, 92, 93 &amp; 94. </w:t>
      </w:r>
      <w:r w:rsidRPr="00325D48">
        <w:rPr>
          <w:rFonts w:ascii="Arial" w:eastAsia="Times New Roman" w:hAnsi="Arial" w:cs="Arial"/>
          <w:i/>
          <w:iCs/>
          <w:sz w:val="24"/>
          <w:szCs w:val="24"/>
        </w:rPr>
        <w:t>Provides specific spending caps (e.g., ₦10 billion for presidential candidates), reporting cut-offs, and administrative fines for non-compliance.</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i/>
          <w:iCs/>
          <w:sz w:val="24"/>
          <w:szCs w:val="24"/>
        </w:rPr>
        <w:t xml:space="preserve">Civil Society Coalition on Electoral Reform v. </w:t>
      </w:r>
      <w:proofErr w:type="spellStart"/>
      <w:r w:rsidRPr="00325D48">
        <w:rPr>
          <w:rFonts w:ascii="Arial" w:eastAsia="Times New Roman" w:hAnsi="Arial" w:cs="Arial"/>
          <w:b/>
          <w:bCs/>
          <w:i/>
          <w:iCs/>
          <w:sz w:val="24"/>
          <w:szCs w:val="24"/>
        </w:rPr>
        <w:t>INEC</w:t>
      </w:r>
      <w:proofErr w:type="spellEnd"/>
      <w:r w:rsidRPr="00325D48">
        <w:rPr>
          <w:rFonts w:ascii="Arial" w:eastAsia="Times New Roman" w:hAnsi="Arial" w:cs="Arial"/>
          <w:b/>
          <w:bCs/>
          <w:i/>
          <w:iCs/>
          <w:sz w:val="24"/>
          <w:szCs w:val="24"/>
        </w:rPr>
        <w:t xml:space="preserve"> &amp; </w:t>
      </w:r>
      <w:proofErr w:type="spellStart"/>
      <w:r w:rsidRPr="00325D48">
        <w:rPr>
          <w:rFonts w:ascii="Arial" w:eastAsia="Times New Roman" w:hAnsi="Arial" w:cs="Arial"/>
          <w:b/>
          <w:bCs/>
          <w:i/>
          <w:iCs/>
          <w:sz w:val="24"/>
          <w:szCs w:val="24"/>
        </w:rPr>
        <w:t>Ors</w:t>
      </w:r>
      <w:proofErr w:type="spellEnd"/>
      <w:r w:rsidRPr="00325D48">
        <w:rPr>
          <w:rFonts w:ascii="Arial" w:eastAsia="Times New Roman" w:hAnsi="Arial" w:cs="Arial"/>
          <w:sz w:val="24"/>
          <w:szCs w:val="24"/>
        </w:rPr>
        <w:t xml:space="preserve">, Suit No: </w:t>
      </w:r>
      <w:proofErr w:type="spellStart"/>
      <w:r w:rsidRPr="00325D48">
        <w:rPr>
          <w:rFonts w:ascii="Arial" w:eastAsia="Times New Roman" w:hAnsi="Arial" w:cs="Arial"/>
          <w:sz w:val="24"/>
          <w:szCs w:val="24"/>
        </w:rPr>
        <w:t>FHC</w:t>
      </w:r>
      <w:proofErr w:type="spellEnd"/>
      <w:r w:rsidRPr="00325D48">
        <w:rPr>
          <w:rFonts w:ascii="Arial" w:eastAsia="Times New Roman" w:hAnsi="Arial" w:cs="Arial"/>
          <w:sz w:val="24"/>
          <w:szCs w:val="24"/>
        </w:rPr>
        <w:t>/</w:t>
      </w:r>
      <w:proofErr w:type="spellStart"/>
      <w:r w:rsidRPr="00325D48">
        <w:rPr>
          <w:rFonts w:ascii="Arial" w:eastAsia="Times New Roman" w:hAnsi="Arial" w:cs="Arial"/>
          <w:sz w:val="24"/>
          <w:szCs w:val="24"/>
        </w:rPr>
        <w:t>ABJ</w:t>
      </w:r>
      <w:proofErr w:type="spellEnd"/>
      <w:r w:rsidRPr="00325D48">
        <w:rPr>
          <w:rFonts w:ascii="Arial" w:eastAsia="Times New Roman" w:hAnsi="Arial" w:cs="Arial"/>
          <w:sz w:val="24"/>
          <w:szCs w:val="24"/>
        </w:rPr>
        <w:t xml:space="preserve">/CS/1426/2026 (Unreported, Federal High Court, Abuja Division). </w:t>
      </w:r>
      <w:r w:rsidRPr="00325D48">
        <w:rPr>
          <w:rFonts w:ascii="Arial" w:eastAsia="Times New Roman" w:hAnsi="Arial" w:cs="Arial"/>
          <w:i/>
          <w:iCs/>
          <w:sz w:val="24"/>
          <w:szCs w:val="24"/>
        </w:rPr>
        <w:t>Litigation regarding state fund diversion and tracking of executive campaign funding.</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Policy and Legal Advocacy Centre (</w:t>
      </w:r>
      <w:proofErr w:type="spellStart"/>
      <w:r w:rsidRPr="00325D48">
        <w:rPr>
          <w:rFonts w:ascii="Arial" w:eastAsia="Times New Roman" w:hAnsi="Arial" w:cs="Arial"/>
          <w:b/>
          <w:bCs/>
          <w:sz w:val="24"/>
          <w:szCs w:val="24"/>
        </w:rPr>
        <w:t>PLAC</w:t>
      </w:r>
      <w:proofErr w:type="spellEnd"/>
      <w:r w:rsidRPr="00325D48">
        <w:rPr>
          <w:rFonts w:ascii="Arial" w:eastAsia="Times New Roman" w:hAnsi="Arial" w:cs="Arial"/>
          <w:b/>
          <w:bCs/>
          <w:sz w:val="24"/>
          <w:szCs w:val="24"/>
        </w:rPr>
        <w:t>) Nigeria</w:t>
      </w:r>
      <w:r w:rsidRPr="00325D48">
        <w:rPr>
          <w:rFonts w:ascii="Arial" w:eastAsia="Times New Roman" w:hAnsi="Arial" w:cs="Arial"/>
          <w:sz w:val="24"/>
          <w:szCs w:val="24"/>
        </w:rPr>
        <w:t xml:space="preserve">, </w:t>
      </w:r>
      <w:r w:rsidRPr="00325D48">
        <w:rPr>
          <w:rFonts w:ascii="Arial" w:eastAsia="Times New Roman" w:hAnsi="Arial" w:cs="Arial"/>
          <w:i/>
          <w:iCs/>
          <w:sz w:val="24"/>
          <w:szCs w:val="24"/>
        </w:rPr>
        <w:t>Policy Review on Electoral Innovations and Financial Transparency under the Electoral Act 2026</w:t>
      </w:r>
      <w:r w:rsidRPr="00325D48">
        <w:rPr>
          <w:rFonts w:ascii="Arial" w:eastAsia="Times New Roman" w:hAnsi="Arial" w:cs="Arial"/>
          <w:sz w:val="24"/>
          <w:szCs w:val="24"/>
        </w:rPr>
        <w:t xml:space="preserve">, </w:t>
      </w:r>
      <w:proofErr w:type="spellStart"/>
      <w:r w:rsidRPr="00325D48">
        <w:rPr>
          <w:rFonts w:ascii="Arial" w:eastAsia="Times New Roman" w:hAnsi="Arial" w:cs="Arial"/>
          <w:sz w:val="24"/>
          <w:szCs w:val="24"/>
        </w:rPr>
        <w:t>PLAC</w:t>
      </w:r>
      <w:proofErr w:type="spellEnd"/>
      <w:r w:rsidRPr="00325D48">
        <w:rPr>
          <w:rFonts w:ascii="Arial" w:eastAsia="Times New Roman" w:hAnsi="Arial" w:cs="Arial"/>
          <w:sz w:val="24"/>
          <w:szCs w:val="24"/>
        </w:rPr>
        <w:t xml:space="preserve"> Publications, Abuja (2026).</w:t>
      </w:r>
    </w:p>
    <w:p w:rsidR="00325D48" w:rsidRPr="00325D48" w:rsidRDefault="00325D48" w:rsidP="00325D48">
      <w:pPr>
        <w:numPr>
          <w:ilvl w:val="0"/>
          <w:numId w:val="7"/>
        </w:numPr>
        <w:spacing w:after="0" w:line="360" w:lineRule="auto"/>
        <w:jc w:val="both"/>
        <w:rPr>
          <w:rFonts w:ascii="Arial" w:eastAsia="Times New Roman" w:hAnsi="Arial" w:cs="Arial"/>
          <w:sz w:val="24"/>
          <w:szCs w:val="24"/>
        </w:rPr>
      </w:pPr>
      <w:r w:rsidRPr="00325D48">
        <w:rPr>
          <w:rFonts w:ascii="Arial" w:eastAsia="Times New Roman" w:hAnsi="Arial" w:cs="Arial"/>
          <w:b/>
          <w:bCs/>
          <w:sz w:val="24"/>
          <w:szCs w:val="24"/>
        </w:rPr>
        <w:t>Nigerian Bar Association (NBA)</w:t>
      </w:r>
      <w:r w:rsidRPr="00325D48">
        <w:rPr>
          <w:rFonts w:ascii="Arial" w:eastAsia="Times New Roman" w:hAnsi="Arial" w:cs="Arial"/>
          <w:sz w:val="24"/>
          <w:szCs w:val="24"/>
        </w:rPr>
        <w:t xml:space="preserve">, </w:t>
      </w:r>
      <w:proofErr w:type="spellStart"/>
      <w:r w:rsidRPr="00325D48">
        <w:rPr>
          <w:rFonts w:ascii="Arial" w:eastAsia="Times New Roman" w:hAnsi="Arial" w:cs="Arial"/>
          <w:i/>
          <w:iCs/>
          <w:sz w:val="24"/>
          <w:szCs w:val="24"/>
        </w:rPr>
        <w:t>Communique</w:t>
      </w:r>
      <w:proofErr w:type="spellEnd"/>
      <w:r w:rsidRPr="00325D48">
        <w:rPr>
          <w:rFonts w:ascii="Arial" w:eastAsia="Times New Roman" w:hAnsi="Arial" w:cs="Arial"/>
          <w:i/>
          <w:iCs/>
          <w:sz w:val="24"/>
          <w:szCs w:val="24"/>
        </w:rPr>
        <w:t xml:space="preserve"> of the National Executive Council (NEC) on Professional Conduct, Forum Shopping, and Abuse of Court Processes in Electoral Matters</w:t>
      </w:r>
      <w:r w:rsidRPr="00325D48">
        <w:rPr>
          <w:rFonts w:ascii="Arial" w:eastAsia="Times New Roman" w:hAnsi="Arial" w:cs="Arial"/>
          <w:sz w:val="24"/>
          <w:szCs w:val="24"/>
        </w:rPr>
        <w:t>, NBA Secretariat, Abuja (August 2026).</w:t>
      </w:r>
    </w:p>
    <w:p w:rsidR="000367BF" w:rsidRPr="00325D48" w:rsidRDefault="000367BF" w:rsidP="00325D48">
      <w:pPr>
        <w:spacing w:after="0" w:line="360" w:lineRule="auto"/>
        <w:ind w:left="720"/>
        <w:jc w:val="both"/>
        <w:rPr>
          <w:rFonts w:ascii="Arial" w:hAnsi="Arial" w:cs="Arial"/>
          <w:sz w:val="24"/>
          <w:szCs w:val="24"/>
        </w:rPr>
      </w:pPr>
    </w:p>
    <w:sectPr w:rsidR="000367BF" w:rsidRPr="00325D4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47C" w:rsidRDefault="001F247C" w:rsidP="00325D48">
      <w:pPr>
        <w:spacing w:after="0" w:line="240" w:lineRule="auto"/>
      </w:pPr>
      <w:r>
        <w:separator/>
      </w:r>
    </w:p>
  </w:endnote>
  <w:endnote w:type="continuationSeparator" w:id="0">
    <w:p w:rsidR="001F247C" w:rsidRDefault="001F247C" w:rsidP="00325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635646"/>
      <w:docPartObj>
        <w:docPartGallery w:val="Page Numbers (Bottom of Page)"/>
        <w:docPartUnique/>
      </w:docPartObj>
    </w:sdtPr>
    <w:sdtEndPr>
      <w:rPr>
        <w:noProof/>
      </w:rPr>
    </w:sdtEndPr>
    <w:sdtContent>
      <w:p w:rsidR="00325D48" w:rsidRDefault="00325D48">
        <w:pPr>
          <w:pStyle w:val="Footer"/>
          <w:jc w:val="center"/>
        </w:pPr>
        <w:r>
          <w:fldChar w:fldCharType="begin"/>
        </w:r>
        <w:r>
          <w:instrText xml:space="preserve"> PAGE   \* MERGEFORMAT </w:instrText>
        </w:r>
        <w:r>
          <w:fldChar w:fldCharType="separate"/>
        </w:r>
        <w:r w:rsidR="00650890">
          <w:rPr>
            <w:noProof/>
          </w:rPr>
          <w:t>1</w:t>
        </w:r>
        <w:r>
          <w:rPr>
            <w:noProof/>
          </w:rPr>
          <w:fldChar w:fldCharType="end"/>
        </w:r>
      </w:p>
    </w:sdtContent>
  </w:sdt>
  <w:p w:rsidR="00325D48" w:rsidRDefault="00325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47C" w:rsidRDefault="001F247C" w:rsidP="00325D48">
      <w:pPr>
        <w:spacing w:after="0" w:line="240" w:lineRule="auto"/>
      </w:pPr>
      <w:r>
        <w:separator/>
      </w:r>
    </w:p>
  </w:footnote>
  <w:footnote w:type="continuationSeparator" w:id="0">
    <w:p w:rsidR="001F247C" w:rsidRDefault="001F247C" w:rsidP="00325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46A4"/>
    <w:multiLevelType w:val="multilevel"/>
    <w:tmpl w:val="68DC2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B17457"/>
    <w:multiLevelType w:val="multilevel"/>
    <w:tmpl w:val="23B2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B551EB"/>
    <w:multiLevelType w:val="multilevel"/>
    <w:tmpl w:val="C9F0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02074D"/>
    <w:multiLevelType w:val="multilevel"/>
    <w:tmpl w:val="89D8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8D2F78"/>
    <w:multiLevelType w:val="multilevel"/>
    <w:tmpl w:val="8BE40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CC375F"/>
    <w:multiLevelType w:val="multilevel"/>
    <w:tmpl w:val="DFF68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6A29B8"/>
    <w:multiLevelType w:val="multilevel"/>
    <w:tmpl w:val="7668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3"/>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D48"/>
    <w:rsid w:val="000367BF"/>
    <w:rsid w:val="001F247C"/>
    <w:rsid w:val="00325D48"/>
    <w:rsid w:val="00650890"/>
    <w:rsid w:val="00E2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25D48"/>
    <w:rPr>
      <w:b/>
      <w:bCs/>
    </w:rPr>
  </w:style>
  <w:style w:type="character" w:customStyle="1" w:styleId="inqyif">
    <w:name w:val="inqyif"/>
    <w:basedOn w:val="DefaultParagraphFont"/>
    <w:rsid w:val="00325D48"/>
  </w:style>
  <w:style w:type="paragraph" w:styleId="HTMLPreformatted">
    <w:name w:val="HTML Preformatted"/>
    <w:basedOn w:val="Normal"/>
    <w:link w:val="HTMLPreformattedChar"/>
    <w:uiPriority w:val="99"/>
    <w:semiHidden/>
    <w:unhideWhenUsed/>
    <w:rsid w:val="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25D48"/>
    <w:rPr>
      <w:rFonts w:ascii="Courier New" w:eastAsia="Times New Roman" w:hAnsi="Courier New" w:cs="Courier New"/>
      <w:sz w:val="20"/>
      <w:szCs w:val="20"/>
    </w:rPr>
  </w:style>
  <w:style w:type="character" w:customStyle="1" w:styleId="undefined">
    <w:name w:val="undefined"/>
    <w:basedOn w:val="DefaultParagraphFont"/>
    <w:rsid w:val="00325D48"/>
  </w:style>
  <w:style w:type="character" w:styleId="Emphasis">
    <w:name w:val="Emphasis"/>
    <w:basedOn w:val="DefaultParagraphFont"/>
    <w:uiPriority w:val="20"/>
    <w:qFormat/>
    <w:rsid w:val="00325D48"/>
    <w:rPr>
      <w:i/>
      <w:iCs/>
    </w:rPr>
  </w:style>
  <w:style w:type="character" w:styleId="Hyperlink">
    <w:name w:val="Hyperlink"/>
    <w:basedOn w:val="DefaultParagraphFont"/>
    <w:uiPriority w:val="99"/>
    <w:semiHidden/>
    <w:unhideWhenUsed/>
    <w:rsid w:val="00325D48"/>
    <w:rPr>
      <w:color w:val="0000FF"/>
      <w:u w:val="single"/>
    </w:rPr>
  </w:style>
  <w:style w:type="paragraph" w:styleId="Header">
    <w:name w:val="header"/>
    <w:basedOn w:val="Normal"/>
    <w:link w:val="HeaderChar"/>
    <w:uiPriority w:val="99"/>
    <w:unhideWhenUsed/>
    <w:rsid w:val="00325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D48"/>
  </w:style>
  <w:style w:type="paragraph" w:styleId="Footer">
    <w:name w:val="footer"/>
    <w:basedOn w:val="Normal"/>
    <w:link w:val="FooterChar"/>
    <w:uiPriority w:val="99"/>
    <w:unhideWhenUsed/>
    <w:rsid w:val="00325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D48"/>
  </w:style>
  <w:style w:type="table" w:styleId="TableGrid">
    <w:name w:val="Table Grid"/>
    <w:basedOn w:val="TableNormal"/>
    <w:uiPriority w:val="59"/>
    <w:rsid w:val="00325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25D48"/>
    <w:rPr>
      <w:b/>
      <w:bCs/>
    </w:rPr>
  </w:style>
  <w:style w:type="character" w:customStyle="1" w:styleId="inqyif">
    <w:name w:val="inqyif"/>
    <w:basedOn w:val="DefaultParagraphFont"/>
    <w:rsid w:val="00325D48"/>
  </w:style>
  <w:style w:type="paragraph" w:styleId="HTMLPreformatted">
    <w:name w:val="HTML Preformatted"/>
    <w:basedOn w:val="Normal"/>
    <w:link w:val="HTMLPreformattedChar"/>
    <w:uiPriority w:val="99"/>
    <w:semiHidden/>
    <w:unhideWhenUsed/>
    <w:rsid w:val="0032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25D48"/>
    <w:rPr>
      <w:rFonts w:ascii="Courier New" w:eastAsia="Times New Roman" w:hAnsi="Courier New" w:cs="Courier New"/>
      <w:sz w:val="20"/>
      <w:szCs w:val="20"/>
    </w:rPr>
  </w:style>
  <w:style w:type="character" w:customStyle="1" w:styleId="undefined">
    <w:name w:val="undefined"/>
    <w:basedOn w:val="DefaultParagraphFont"/>
    <w:rsid w:val="00325D48"/>
  </w:style>
  <w:style w:type="character" w:styleId="Emphasis">
    <w:name w:val="Emphasis"/>
    <w:basedOn w:val="DefaultParagraphFont"/>
    <w:uiPriority w:val="20"/>
    <w:qFormat/>
    <w:rsid w:val="00325D48"/>
    <w:rPr>
      <w:i/>
      <w:iCs/>
    </w:rPr>
  </w:style>
  <w:style w:type="character" w:styleId="Hyperlink">
    <w:name w:val="Hyperlink"/>
    <w:basedOn w:val="DefaultParagraphFont"/>
    <w:uiPriority w:val="99"/>
    <w:semiHidden/>
    <w:unhideWhenUsed/>
    <w:rsid w:val="00325D48"/>
    <w:rPr>
      <w:color w:val="0000FF"/>
      <w:u w:val="single"/>
    </w:rPr>
  </w:style>
  <w:style w:type="paragraph" w:styleId="Header">
    <w:name w:val="header"/>
    <w:basedOn w:val="Normal"/>
    <w:link w:val="HeaderChar"/>
    <w:uiPriority w:val="99"/>
    <w:unhideWhenUsed/>
    <w:rsid w:val="00325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D48"/>
  </w:style>
  <w:style w:type="paragraph" w:styleId="Footer">
    <w:name w:val="footer"/>
    <w:basedOn w:val="Normal"/>
    <w:link w:val="FooterChar"/>
    <w:uiPriority w:val="99"/>
    <w:unhideWhenUsed/>
    <w:rsid w:val="00325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D48"/>
  </w:style>
  <w:style w:type="table" w:styleId="TableGrid">
    <w:name w:val="Table Grid"/>
    <w:basedOn w:val="TableNormal"/>
    <w:uiPriority w:val="59"/>
    <w:rsid w:val="00325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368724">
      <w:bodyDiv w:val="1"/>
      <w:marLeft w:val="0"/>
      <w:marRight w:val="0"/>
      <w:marTop w:val="0"/>
      <w:marBottom w:val="0"/>
      <w:divBdr>
        <w:top w:val="none" w:sz="0" w:space="0" w:color="auto"/>
        <w:left w:val="none" w:sz="0" w:space="0" w:color="auto"/>
        <w:bottom w:val="none" w:sz="0" w:space="0" w:color="auto"/>
        <w:right w:val="none" w:sz="0" w:space="0" w:color="auto"/>
      </w:divBdr>
      <w:divsChild>
        <w:div w:id="1393506666">
          <w:marLeft w:val="0"/>
          <w:marRight w:val="0"/>
          <w:marTop w:val="360"/>
          <w:marBottom w:val="180"/>
          <w:divBdr>
            <w:top w:val="none" w:sz="0" w:space="0" w:color="auto"/>
            <w:left w:val="none" w:sz="0" w:space="0" w:color="auto"/>
            <w:bottom w:val="none" w:sz="0" w:space="0" w:color="auto"/>
            <w:right w:val="none" w:sz="0" w:space="0" w:color="auto"/>
          </w:divBdr>
        </w:div>
        <w:div w:id="1112167067">
          <w:marLeft w:val="0"/>
          <w:marRight w:val="0"/>
          <w:marTop w:val="360"/>
          <w:marBottom w:val="180"/>
          <w:divBdr>
            <w:top w:val="none" w:sz="0" w:space="0" w:color="auto"/>
            <w:left w:val="none" w:sz="0" w:space="0" w:color="auto"/>
            <w:bottom w:val="none" w:sz="0" w:space="0" w:color="auto"/>
            <w:right w:val="none" w:sz="0" w:space="0" w:color="auto"/>
          </w:divBdr>
        </w:div>
        <w:div w:id="471295426">
          <w:marLeft w:val="0"/>
          <w:marRight w:val="0"/>
          <w:marTop w:val="180"/>
          <w:marBottom w:val="240"/>
          <w:divBdr>
            <w:top w:val="none" w:sz="0" w:space="0" w:color="auto"/>
            <w:left w:val="none" w:sz="0" w:space="0" w:color="auto"/>
            <w:bottom w:val="none" w:sz="0" w:space="0" w:color="auto"/>
            <w:right w:val="none" w:sz="0" w:space="0" w:color="auto"/>
          </w:divBdr>
        </w:div>
        <w:div w:id="2004502079">
          <w:marLeft w:val="0"/>
          <w:marRight w:val="0"/>
          <w:marTop w:val="180"/>
          <w:marBottom w:val="240"/>
          <w:divBdr>
            <w:top w:val="none" w:sz="0" w:space="0" w:color="auto"/>
            <w:left w:val="none" w:sz="0" w:space="0" w:color="auto"/>
            <w:bottom w:val="none" w:sz="0" w:space="0" w:color="auto"/>
            <w:right w:val="none" w:sz="0" w:space="0" w:color="auto"/>
          </w:divBdr>
        </w:div>
        <w:div w:id="2053268704">
          <w:marLeft w:val="0"/>
          <w:marRight w:val="0"/>
          <w:marTop w:val="180"/>
          <w:marBottom w:val="240"/>
          <w:divBdr>
            <w:top w:val="none" w:sz="0" w:space="0" w:color="auto"/>
            <w:left w:val="none" w:sz="0" w:space="0" w:color="auto"/>
            <w:bottom w:val="none" w:sz="0" w:space="0" w:color="auto"/>
            <w:right w:val="none" w:sz="0" w:space="0" w:color="auto"/>
          </w:divBdr>
        </w:div>
        <w:div w:id="232394945">
          <w:marLeft w:val="0"/>
          <w:marRight w:val="0"/>
          <w:marTop w:val="360"/>
          <w:marBottom w:val="180"/>
          <w:divBdr>
            <w:top w:val="none" w:sz="0" w:space="0" w:color="auto"/>
            <w:left w:val="none" w:sz="0" w:space="0" w:color="auto"/>
            <w:bottom w:val="none" w:sz="0" w:space="0" w:color="auto"/>
            <w:right w:val="none" w:sz="0" w:space="0" w:color="auto"/>
          </w:divBdr>
        </w:div>
        <w:div w:id="1513304682">
          <w:marLeft w:val="0"/>
          <w:marRight w:val="0"/>
          <w:marTop w:val="180"/>
          <w:marBottom w:val="240"/>
          <w:divBdr>
            <w:top w:val="none" w:sz="0" w:space="0" w:color="auto"/>
            <w:left w:val="none" w:sz="0" w:space="0" w:color="auto"/>
            <w:bottom w:val="none" w:sz="0" w:space="0" w:color="auto"/>
            <w:right w:val="none" w:sz="0" w:space="0" w:color="auto"/>
          </w:divBdr>
        </w:div>
        <w:div w:id="1844465989">
          <w:marLeft w:val="0"/>
          <w:marRight w:val="0"/>
          <w:marTop w:val="180"/>
          <w:marBottom w:val="240"/>
          <w:divBdr>
            <w:top w:val="none" w:sz="0" w:space="0" w:color="auto"/>
            <w:left w:val="none" w:sz="0" w:space="0" w:color="auto"/>
            <w:bottom w:val="none" w:sz="0" w:space="0" w:color="auto"/>
            <w:right w:val="none" w:sz="0" w:space="0" w:color="auto"/>
          </w:divBdr>
        </w:div>
        <w:div w:id="1491166909">
          <w:marLeft w:val="0"/>
          <w:marRight w:val="0"/>
          <w:marTop w:val="180"/>
          <w:marBottom w:val="240"/>
          <w:divBdr>
            <w:top w:val="none" w:sz="0" w:space="0" w:color="auto"/>
            <w:left w:val="none" w:sz="0" w:space="0" w:color="auto"/>
            <w:bottom w:val="none" w:sz="0" w:space="0" w:color="auto"/>
            <w:right w:val="none" w:sz="0" w:space="0" w:color="auto"/>
          </w:divBdr>
        </w:div>
        <w:div w:id="423496297">
          <w:marLeft w:val="0"/>
          <w:marRight w:val="0"/>
          <w:marTop w:val="360"/>
          <w:marBottom w:val="180"/>
          <w:divBdr>
            <w:top w:val="none" w:sz="0" w:space="0" w:color="auto"/>
            <w:left w:val="none" w:sz="0" w:space="0" w:color="auto"/>
            <w:bottom w:val="none" w:sz="0" w:space="0" w:color="auto"/>
            <w:right w:val="none" w:sz="0" w:space="0" w:color="auto"/>
          </w:divBdr>
        </w:div>
        <w:div w:id="1470708674">
          <w:marLeft w:val="0"/>
          <w:marRight w:val="0"/>
          <w:marTop w:val="180"/>
          <w:marBottom w:val="240"/>
          <w:divBdr>
            <w:top w:val="none" w:sz="0" w:space="0" w:color="auto"/>
            <w:left w:val="none" w:sz="0" w:space="0" w:color="auto"/>
            <w:bottom w:val="none" w:sz="0" w:space="0" w:color="auto"/>
            <w:right w:val="none" w:sz="0" w:space="0" w:color="auto"/>
          </w:divBdr>
        </w:div>
        <w:div w:id="1472674899">
          <w:marLeft w:val="0"/>
          <w:marRight w:val="0"/>
          <w:marTop w:val="60"/>
          <w:marBottom w:val="0"/>
          <w:divBdr>
            <w:top w:val="none" w:sz="0" w:space="0" w:color="auto"/>
            <w:left w:val="none" w:sz="0" w:space="0" w:color="auto"/>
            <w:bottom w:val="none" w:sz="0" w:space="0" w:color="auto"/>
            <w:right w:val="none" w:sz="0" w:space="0" w:color="auto"/>
          </w:divBdr>
          <w:divsChild>
            <w:div w:id="235364314">
              <w:marLeft w:val="0"/>
              <w:marRight w:val="0"/>
              <w:marTop w:val="0"/>
              <w:marBottom w:val="0"/>
              <w:divBdr>
                <w:top w:val="none" w:sz="0" w:space="0" w:color="auto"/>
                <w:left w:val="none" w:sz="0" w:space="0" w:color="auto"/>
                <w:bottom w:val="none" w:sz="0" w:space="0" w:color="auto"/>
                <w:right w:val="none" w:sz="0" w:space="0" w:color="auto"/>
              </w:divBdr>
              <w:divsChild>
                <w:div w:id="447433967">
                  <w:marLeft w:val="0"/>
                  <w:marRight w:val="0"/>
                  <w:marTop w:val="0"/>
                  <w:marBottom w:val="0"/>
                  <w:divBdr>
                    <w:top w:val="none" w:sz="0" w:space="0" w:color="auto"/>
                    <w:left w:val="none" w:sz="0" w:space="0" w:color="auto"/>
                    <w:bottom w:val="single" w:sz="6" w:space="0" w:color="F0F2F5"/>
                    <w:right w:val="none" w:sz="0" w:space="0" w:color="auto"/>
                  </w:divBdr>
                  <w:divsChild>
                    <w:div w:id="1691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128399">
          <w:marLeft w:val="0"/>
          <w:marRight w:val="0"/>
          <w:marTop w:val="360"/>
          <w:marBottom w:val="180"/>
          <w:divBdr>
            <w:top w:val="none" w:sz="0" w:space="0" w:color="auto"/>
            <w:left w:val="none" w:sz="0" w:space="0" w:color="auto"/>
            <w:bottom w:val="none" w:sz="0" w:space="0" w:color="auto"/>
            <w:right w:val="none" w:sz="0" w:space="0" w:color="auto"/>
          </w:divBdr>
        </w:div>
        <w:div w:id="1018853942">
          <w:marLeft w:val="0"/>
          <w:marRight w:val="0"/>
          <w:marTop w:val="180"/>
          <w:marBottom w:val="240"/>
          <w:divBdr>
            <w:top w:val="none" w:sz="0" w:space="0" w:color="auto"/>
            <w:left w:val="none" w:sz="0" w:space="0" w:color="auto"/>
            <w:bottom w:val="none" w:sz="0" w:space="0" w:color="auto"/>
            <w:right w:val="none" w:sz="0" w:space="0" w:color="auto"/>
          </w:divBdr>
        </w:div>
        <w:div w:id="272322758">
          <w:marLeft w:val="0"/>
          <w:marRight w:val="0"/>
          <w:marTop w:val="360"/>
          <w:marBottom w:val="180"/>
          <w:divBdr>
            <w:top w:val="none" w:sz="0" w:space="0" w:color="auto"/>
            <w:left w:val="none" w:sz="0" w:space="0" w:color="auto"/>
            <w:bottom w:val="none" w:sz="0" w:space="0" w:color="auto"/>
            <w:right w:val="none" w:sz="0" w:space="0" w:color="auto"/>
          </w:divBdr>
        </w:div>
        <w:div w:id="1555392165">
          <w:marLeft w:val="0"/>
          <w:marRight w:val="0"/>
          <w:marTop w:val="180"/>
          <w:marBottom w:val="240"/>
          <w:divBdr>
            <w:top w:val="none" w:sz="0" w:space="0" w:color="auto"/>
            <w:left w:val="none" w:sz="0" w:space="0" w:color="auto"/>
            <w:bottom w:val="none" w:sz="0" w:space="0" w:color="auto"/>
            <w:right w:val="none" w:sz="0" w:space="0" w:color="auto"/>
          </w:divBdr>
        </w:div>
        <w:div w:id="1697152350">
          <w:marLeft w:val="0"/>
          <w:marRight w:val="0"/>
          <w:marTop w:val="360"/>
          <w:marBottom w:val="180"/>
          <w:divBdr>
            <w:top w:val="none" w:sz="0" w:space="0" w:color="auto"/>
            <w:left w:val="none" w:sz="0" w:space="0" w:color="auto"/>
            <w:bottom w:val="none" w:sz="0" w:space="0" w:color="auto"/>
            <w:right w:val="none" w:sz="0" w:space="0" w:color="auto"/>
          </w:divBdr>
        </w:div>
        <w:div w:id="762336018">
          <w:marLeft w:val="0"/>
          <w:marRight w:val="0"/>
          <w:marTop w:val="180"/>
          <w:marBottom w:val="240"/>
          <w:divBdr>
            <w:top w:val="none" w:sz="0" w:space="0" w:color="auto"/>
            <w:left w:val="none" w:sz="0" w:space="0" w:color="auto"/>
            <w:bottom w:val="none" w:sz="0" w:space="0" w:color="auto"/>
            <w:right w:val="none" w:sz="0" w:space="0" w:color="auto"/>
          </w:divBdr>
        </w:div>
        <w:div w:id="2089038281">
          <w:marLeft w:val="0"/>
          <w:marRight w:val="0"/>
          <w:marTop w:val="360"/>
          <w:marBottom w:val="180"/>
          <w:divBdr>
            <w:top w:val="none" w:sz="0" w:space="0" w:color="auto"/>
            <w:left w:val="none" w:sz="0" w:space="0" w:color="auto"/>
            <w:bottom w:val="none" w:sz="0" w:space="0" w:color="auto"/>
            <w:right w:val="none" w:sz="0" w:space="0" w:color="auto"/>
          </w:divBdr>
        </w:div>
        <w:div w:id="240139847">
          <w:marLeft w:val="0"/>
          <w:marRight w:val="0"/>
          <w:marTop w:val="180"/>
          <w:marBottom w:val="240"/>
          <w:divBdr>
            <w:top w:val="none" w:sz="0" w:space="0" w:color="auto"/>
            <w:left w:val="none" w:sz="0" w:space="0" w:color="auto"/>
            <w:bottom w:val="none" w:sz="0" w:space="0" w:color="auto"/>
            <w:right w:val="none" w:sz="0" w:space="0" w:color="auto"/>
          </w:divBdr>
        </w:div>
        <w:div w:id="1245262100">
          <w:marLeft w:val="0"/>
          <w:marRight w:val="0"/>
          <w:marTop w:val="360"/>
          <w:marBottom w:val="180"/>
          <w:divBdr>
            <w:top w:val="none" w:sz="0" w:space="0" w:color="auto"/>
            <w:left w:val="none" w:sz="0" w:space="0" w:color="auto"/>
            <w:bottom w:val="none" w:sz="0" w:space="0" w:color="auto"/>
            <w:right w:val="none" w:sz="0" w:space="0" w:color="auto"/>
          </w:divBdr>
        </w:div>
        <w:div w:id="1770813110">
          <w:marLeft w:val="0"/>
          <w:marRight w:val="0"/>
          <w:marTop w:val="180"/>
          <w:marBottom w:val="240"/>
          <w:divBdr>
            <w:top w:val="none" w:sz="0" w:space="0" w:color="auto"/>
            <w:left w:val="none" w:sz="0" w:space="0" w:color="auto"/>
            <w:bottom w:val="none" w:sz="0" w:space="0" w:color="auto"/>
            <w:right w:val="none" w:sz="0" w:space="0" w:color="auto"/>
          </w:divBdr>
        </w:div>
        <w:div w:id="1142776125">
          <w:marLeft w:val="0"/>
          <w:marRight w:val="0"/>
          <w:marTop w:val="360"/>
          <w:marBottom w:val="180"/>
          <w:divBdr>
            <w:top w:val="none" w:sz="0" w:space="0" w:color="auto"/>
            <w:left w:val="none" w:sz="0" w:space="0" w:color="auto"/>
            <w:bottom w:val="none" w:sz="0" w:space="0" w:color="auto"/>
            <w:right w:val="none" w:sz="0" w:space="0" w:color="auto"/>
          </w:divBdr>
        </w:div>
        <w:div w:id="199754358">
          <w:marLeft w:val="0"/>
          <w:marRight w:val="0"/>
          <w:marTop w:val="180"/>
          <w:marBottom w:val="240"/>
          <w:divBdr>
            <w:top w:val="none" w:sz="0" w:space="0" w:color="auto"/>
            <w:left w:val="none" w:sz="0" w:space="0" w:color="auto"/>
            <w:bottom w:val="none" w:sz="0" w:space="0" w:color="auto"/>
            <w:right w:val="none" w:sz="0" w:space="0" w:color="auto"/>
          </w:divBdr>
        </w:div>
        <w:div w:id="1932082205">
          <w:marLeft w:val="0"/>
          <w:marRight w:val="0"/>
          <w:marTop w:val="360"/>
          <w:marBottom w:val="180"/>
          <w:divBdr>
            <w:top w:val="none" w:sz="0" w:space="0" w:color="auto"/>
            <w:left w:val="none" w:sz="0" w:space="0" w:color="auto"/>
            <w:bottom w:val="none" w:sz="0" w:space="0" w:color="auto"/>
            <w:right w:val="none" w:sz="0" w:space="0" w:color="auto"/>
          </w:divBdr>
        </w:div>
        <w:div w:id="1141196717">
          <w:marLeft w:val="0"/>
          <w:marRight w:val="0"/>
          <w:marTop w:val="180"/>
          <w:marBottom w:val="240"/>
          <w:divBdr>
            <w:top w:val="none" w:sz="0" w:space="0" w:color="auto"/>
            <w:left w:val="none" w:sz="0" w:space="0" w:color="auto"/>
            <w:bottom w:val="none" w:sz="0" w:space="0" w:color="auto"/>
            <w:right w:val="none" w:sz="0" w:space="0" w:color="auto"/>
          </w:divBdr>
        </w:div>
        <w:div w:id="1263535193">
          <w:marLeft w:val="0"/>
          <w:marRight w:val="0"/>
          <w:marTop w:val="360"/>
          <w:marBottom w:val="180"/>
          <w:divBdr>
            <w:top w:val="none" w:sz="0" w:space="0" w:color="auto"/>
            <w:left w:val="none" w:sz="0" w:space="0" w:color="auto"/>
            <w:bottom w:val="none" w:sz="0" w:space="0" w:color="auto"/>
            <w:right w:val="none" w:sz="0" w:space="0" w:color="auto"/>
          </w:divBdr>
        </w:div>
        <w:div w:id="1675500285">
          <w:marLeft w:val="0"/>
          <w:marRight w:val="0"/>
          <w:marTop w:val="180"/>
          <w:marBottom w:val="240"/>
          <w:divBdr>
            <w:top w:val="none" w:sz="0" w:space="0" w:color="auto"/>
            <w:left w:val="none" w:sz="0" w:space="0" w:color="auto"/>
            <w:bottom w:val="none" w:sz="0" w:space="0" w:color="auto"/>
            <w:right w:val="none" w:sz="0" w:space="0" w:color="auto"/>
          </w:divBdr>
        </w:div>
        <w:div w:id="1658998339">
          <w:marLeft w:val="0"/>
          <w:marRight w:val="0"/>
          <w:marTop w:val="360"/>
          <w:marBottom w:val="180"/>
          <w:divBdr>
            <w:top w:val="none" w:sz="0" w:space="0" w:color="auto"/>
            <w:left w:val="none" w:sz="0" w:space="0" w:color="auto"/>
            <w:bottom w:val="none" w:sz="0" w:space="0" w:color="auto"/>
            <w:right w:val="none" w:sz="0" w:space="0" w:color="auto"/>
          </w:divBdr>
        </w:div>
        <w:div w:id="289092209">
          <w:marLeft w:val="0"/>
          <w:marRight w:val="0"/>
          <w:marTop w:val="180"/>
          <w:marBottom w:val="240"/>
          <w:divBdr>
            <w:top w:val="none" w:sz="0" w:space="0" w:color="auto"/>
            <w:left w:val="none" w:sz="0" w:space="0" w:color="auto"/>
            <w:bottom w:val="none" w:sz="0" w:space="0" w:color="auto"/>
            <w:right w:val="none" w:sz="0" w:space="0" w:color="auto"/>
          </w:divBdr>
        </w:div>
        <w:div w:id="533154089">
          <w:marLeft w:val="0"/>
          <w:marRight w:val="0"/>
          <w:marTop w:val="360"/>
          <w:marBottom w:val="180"/>
          <w:divBdr>
            <w:top w:val="none" w:sz="0" w:space="0" w:color="auto"/>
            <w:left w:val="none" w:sz="0" w:space="0" w:color="auto"/>
            <w:bottom w:val="none" w:sz="0" w:space="0" w:color="auto"/>
            <w:right w:val="none" w:sz="0" w:space="0" w:color="auto"/>
          </w:divBdr>
        </w:div>
        <w:div w:id="1381899565">
          <w:marLeft w:val="0"/>
          <w:marRight w:val="0"/>
          <w:marTop w:val="180"/>
          <w:marBottom w:val="240"/>
          <w:divBdr>
            <w:top w:val="none" w:sz="0" w:space="0" w:color="auto"/>
            <w:left w:val="none" w:sz="0" w:space="0" w:color="auto"/>
            <w:bottom w:val="none" w:sz="0" w:space="0" w:color="auto"/>
            <w:right w:val="none" w:sz="0" w:space="0" w:color="auto"/>
          </w:divBdr>
        </w:div>
        <w:div w:id="1531335096">
          <w:marLeft w:val="0"/>
          <w:marRight w:val="0"/>
          <w:marTop w:val="360"/>
          <w:marBottom w:val="180"/>
          <w:divBdr>
            <w:top w:val="none" w:sz="0" w:space="0" w:color="auto"/>
            <w:left w:val="none" w:sz="0" w:space="0" w:color="auto"/>
            <w:bottom w:val="none" w:sz="0" w:space="0" w:color="auto"/>
            <w:right w:val="none" w:sz="0" w:space="0" w:color="auto"/>
          </w:divBdr>
        </w:div>
        <w:div w:id="404845083">
          <w:marLeft w:val="0"/>
          <w:marRight w:val="0"/>
          <w:marTop w:val="180"/>
          <w:marBottom w:val="240"/>
          <w:divBdr>
            <w:top w:val="none" w:sz="0" w:space="0" w:color="auto"/>
            <w:left w:val="none" w:sz="0" w:space="0" w:color="auto"/>
            <w:bottom w:val="none" w:sz="0" w:space="0" w:color="auto"/>
            <w:right w:val="none" w:sz="0" w:space="0" w:color="auto"/>
          </w:divBdr>
        </w:div>
        <w:div w:id="501625437">
          <w:marLeft w:val="0"/>
          <w:marRight w:val="0"/>
          <w:marTop w:val="360"/>
          <w:marBottom w:val="180"/>
          <w:divBdr>
            <w:top w:val="none" w:sz="0" w:space="0" w:color="auto"/>
            <w:left w:val="none" w:sz="0" w:space="0" w:color="auto"/>
            <w:bottom w:val="none" w:sz="0" w:space="0" w:color="auto"/>
            <w:right w:val="none" w:sz="0" w:space="0" w:color="auto"/>
          </w:divBdr>
        </w:div>
        <w:div w:id="704251965">
          <w:marLeft w:val="0"/>
          <w:marRight w:val="0"/>
          <w:marTop w:val="180"/>
          <w:marBottom w:val="240"/>
          <w:divBdr>
            <w:top w:val="none" w:sz="0" w:space="0" w:color="auto"/>
            <w:left w:val="none" w:sz="0" w:space="0" w:color="auto"/>
            <w:bottom w:val="none" w:sz="0" w:space="0" w:color="auto"/>
            <w:right w:val="none" w:sz="0" w:space="0" w:color="auto"/>
          </w:divBdr>
        </w:div>
        <w:div w:id="479855577">
          <w:marLeft w:val="0"/>
          <w:marRight w:val="0"/>
          <w:marTop w:val="360"/>
          <w:marBottom w:val="180"/>
          <w:divBdr>
            <w:top w:val="none" w:sz="0" w:space="0" w:color="auto"/>
            <w:left w:val="none" w:sz="0" w:space="0" w:color="auto"/>
            <w:bottom w:val="none" w:sz="0" w:space="0" w:color="auto"/>
            <w:right w:val="none" w:sz="0" w:space="0" w:color="auto"/>
          </w:divBdr>
        </w:div>
        <w:div w:id="890651705">
          <w:marLeft w:val="0"/>
          <w:marRight w:val="0"/>
          <w:marTop w:val="180"/>
          <w:marBottom w:val="240"/>
          <w:divBdr>
            <w:top w:val="none" w:sz="0" w:space="0" w:color="auto"/>
            <w:left w:val="none" w:sz="0" w:space="0" w:color="auto"/>
            <w:bottom w:val="none" w:sz="0" w:space="0" w:color="auto"/>
            <w:right w:val="none" w:sz="0" w:space="0" w:color="auto"/>
          </w:divBdr>
        </w:div>
        <w:div w:id="1781148964">
          <w:marLeft w:val="0"/>
          <w:marRight w:val="0"/>
          <w:marTop w:val="360"/>
          <w:marBottom w:val="180"/>
          <w:divBdr>
            <w:top w:val="none" w:sz="0" w:space="0" w:color="auto"/>
            <w:left w:val="none" w:sz="0" w:space="0" w:color="auto"/>
            <w:bottom w:val="none" w:sz="0" w:space="0" w:color="auto"/>
            <w:right w:val="none" w:sz="0" w:space="0" w:color="auto"/>
          </w:divBdr>
        </w:div>
        <w:div w:id="1630863950">
          <w:marLeft w:val="0"/>
          <w:marRight w:val="0"/>
          <w:marTop w:val="180"/>
          <w:marBottom w:val="240"/>
          <w:divBdr>
            <w:top w:val="none" w:sz="0" w:space="0" w:color="auto"/>
            <w:left w:val="none" w:sz="0" w:space="0" w:color="auto"/>
            <w:bottom w:val="none" w:sz="0" w:space="0" w:color="auto"/>
            <w:right w:val="none" w:sz="0" w:space="0" w:color="auto"/>
          </w:divBdr>
        </w:div>
        <w:div w:id="1797026326">
          <w:marLeft w:val="0"/>
          <w:marRight w:val="0"/>
          <w:marTop w:val="180"/>
          <w:marBottom w:val="240"/>
          <w:divBdr>
            <w:top w:val="none" w:sz="0" w:space="0" w:color="auto"/>
            <w:left w:val="none" w:sz="0" w:space="0" w:color="auto"/>
            <w:bottom w:val="none" w:sz="0" w:space="0" w:color="auto"/>
            <w:right w:val="none" w:sz="0" w:space="0" w:color="auto"/>
          </w:divBdr>
        </w:div>
        <w:div w:id="1755474865">
          <w:marLeft w:val="0"/>
          <w:marRight w:val="0"/>
          <w:marTop w:val="360"/>
          <w:marBottom w:val="180"/>
          <w:divBdr>
            <w:top w:val="none" w:sz="0" w:space="0" w:color="auto"/>
            <w:left w:val="none" w:sz="0" w:space="0" w:color="auto"/>
            <w:bottom w:val="none" w:sz="0" w:space="0" w:color="auto"/>
            <w:right w:val="none" w:sz="0" w:space="0" w:color="auto"/>
          </w:divBdr>
        </w:div>
        <w:div w:id="81532958">
          <w:marLeft w:val="0"/>
          <w:marRight w:val="0"/>
          <w:marTop w:val="180"/>
          <w:marBottom w:val="240"/>
          <w:divBdr>
            <w:top w:val="none" w:sz="0" w:space="0" w:color="auto"/>
            <w:left w:val="none" w:sz="0" w:space="0" w:color="auto"/>
            <w:bottom w:val="none" w:sz="0" w:space="0" w:color="auto"/>
            <w:right w:val="none" w:sz="0" w:space="0" w:color="auto"/>
          </w:divBdr>
        </w:div>
        <w:div w:id="42800635">
          <w:marLeft w:val="0"/>
          <w:marRight w:val="0"/>
          <w:marTop w:val="180"/>
          <w:marBottom w:val="240"/>
          <w:divBdr>
            <w:top w:val="none" w:sz="0" w:space="0" w:color="auto"/>
            <w:left w:val="none" w:sz="0" w:space="0" w:color="auto"/>
            <w:bottom w:val="none" w:sz="0" w:space="0" w:color="auto"/>
            <w:right w:val="none" w:sz="0" w:space="0" w:color="auto"/>
          </w:divBdr>
        </w:div>
        <w:div w:id="1166362930">
          <w:marLeft w:val="0"/>
          <w:marRight w:val="0"/>
          <w:marTop w:val="360"/>
          <w:marBottom w:val="180"/>
          <w:divBdr>
            <w:top w:val="none" w:sz="0" w:space="0" w:color="auto"/>
            <w:left w:val="none" w:sz="0" w:space="0" w:color="auto"/>
            <w:bottom w:val="none" w:sz="0" w:space="0" w:color="auto"/>
            <w:right w:val="none" w:sz="0" w:space="0" w:color="auto"/>
          </w:divBdr>
        </w:div>
        <w:div w:id="792789820">
          <w:marLeft w:val="0"/>
          <w:marRight w:val="0"/>
          <w:marTop w:val="360"/>
          <w:marBottom w:val="180"/>
          <w:divBdr>
            <w:top w:val="none" w:sz="0" w:space="0" w:color="auto"/>
            <w:left w:val="none" w:sz="0" w:space="0" w:color="auto"/>
            <w:bottom w:val="none" w:sz="0" w:space="0" w:color="auto"/>
            <w:right w:val="none" w:sz="0" w:space="0" w:color="auto"/>
          </w:divBdr>
        </w:div>
        <w:div w:id="407504732">
          <w:marLeft w:val="0"/>
          <w:marRight w:val="0"/>
          <w:marTop w:val="180"/>
          <w:marBottom w:val="240"/>
          <w:divBdr>
            <w:top w:val="none" w:sz="0" w:space="0" w:color="auto"/>
            <w:left w:val="none" w:sz="0" w:space="0" w:color="auto"/>
            <w:bottom w:val="none" w:sz="0" w:space="0" w:color="auto"/>
            <w:right w:val="none" w:sz="0" w:space="0" w:color="auto"/>
          </w:divBdr>
        </w:div>
        <w:div w:id="184250770">
          <w:marLeft w:val="0"/>
          <w:marRight w:val="0"/>
          <w:marTop w:val="360"/>
          <w:marBottom w:val="180"/>
          <w:divBdr>
            <w:top w:val="none" w:sz="0" w:space="0" w:color="auto"/>
            <w:left w:val="none" w:sz="0" w:space="0" w:color="auto"/>
            <w:bottom w:val="none" w:sz="0" w:space="0" w:color="auto"/>
            <w:right w:val="none" w:sz="0" w:space="0" w:color="auto"/>
          </w:divBdr>
        </w:div>
        <w:div w:id="336543989">
          <w:marLeft w:val="0"/>
          <w:marRight w:val="0"/>
          <w:marTop w:val="360"/>
          <w:marBottom w:val="180"/>
          <w:divBdr>
            <w:top w:val="none" w:sz="0" w:space="0" w:color="auto"/>
            <w:left w:val="none" w:sz="0" w:space="0" w:color="auto"/>
            <w:bottom w:val="none" w:sz="0" w:space="0" w:color="auto"/>
            <w:right w:val="none" w:sz="0" w:space="0" w:color="auto"/>
          </w:divBdr>
        </w:div>
        <w:div w:id="694157941">
          <w:marLeft w:val="0"/>
          <w:marRight w:val="0"/>
          <w:marTop w:val="360"/>
          <w:marBottom w:val="180"/>
          <w:divBdr>
            <w:top w:val="none" w:sz="0" w:space="0" w:color="auto"/>
            <w:left w:val="none" w:sz="0" w:space="0" w:color="auto"/>
            <w:bottom w:val="none" w:sz="0" w:space="0" w:color="auto"/>
            <w:right w:val="none" w:sz="0" w:space="0" w:color="auto"/>
          </w:divBdr>
        </w:div>
        <w:div w:id="1942492476">
          <w:marLeft w:val="0"/>
          <w:marRight w:val="0"/>
          <w:marTop w:val="360"/>
          <w:marBottom w:val="180"/>
          <w:divBdr>
            <w:top w:val="none" w:sz="0" w:space="0" w:color="auto"/>
            <w:left w:val="none" w:sz="0" w:space="0" w:color="auto"/>
            <w:bottom w:val="none" w:sz="0" w:space="0" w:color="auto"/>
            <w:right w:val="none" w:sz="0" w:space="0" w:color="auto"/>
          </w:divBdr>
        </w:div>
        <w:div w:id="757943521">
          <w:marLeft w:val="0"/>
          <w:marRight w:val="0"/>
          <w:marTop w:val="360"/>
          <w:marBottom w:val="180"/>
          <w:divBdr>
            <w:top w:val="none" w:sz="0" w:space="0" w:color="auto"/>
            <w:left w:val="none" w:sz="0" w:space="0" w:color="auto"/>
            <w:bottom w:val="none" w:sz="0" w:space="0" w:color="auto"/>
            <w:right w:val="none" w:sz="0" w:space="0" w:color="auto"/>
          </w:divBdr>
        </w:div>
        <w:div w:id="1856924429">
          <w:marLeft w:val="0"/>
          <w:marRight w:val="0"/>
          <w:marTop w:val="180"/>
          <w:marBottom w:val="240"/>
          <w:divBdr>
            <w:top w:val="none" w:sz="0" w:space="0" w:color="auto"/>
            <w:left w:val="none" w:sz="0" w:space="0" w:color="auto"/>
            <w:bottom w:val="none" w:sz="0" w:space="0" w:color="auto"/>
            <w:right w:val="none" w:sz="0" w:space="0" w:color="auto"/>
          </w:divBdr>
        </w:div>
        <w:div w:id="1909072678">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cp:revision>
  <dcterms:created xsi:type="dcterms:W3CDTF">2026-10-20T09:32:00Z</dcterms:created>
  <dcterms:modified xsi:type="dcterms:W3CDTF">2026-10-20T09:52:00Z</dcterms:modified>
</cp:coreProperties>
</file>