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E3C67" w14:textId="78EB03A3" w:rsidR="007416A2" w:rsidRPr="00D33330" w:rsidRDefault="007416A2" w:rsidP="00D33330">
      <w:pPr>
        <w:spacing w:before="100" w:beforeAutospacing="1" w:after="100" w:afterAutospacing="1" w:line="240" w:lineRule="auto"/>
        <w:jc w:val="both"/>
        <w:outlineLvl w:val="0"/>
        <w:rPr>
          <w:rFonts w:ascii="Times New Roman" w:eastAsia="Times New Roman" w:hAnsi="Times New Roman" w:cs="Times New Roman"/>
          <w:b/>
          <w:bCs/>
          <w:kern w:val="36"/>
          <w:sz w:val="40"/>
          <w:szCs w:val="40"/>
        </w:rPr>
      </w:pPr>
      <w:r w:rsidRPr="00D33330">
        <w:rPr>
          <w:rFonts w:ascii="Times New Roman" w:eastAsia="Times New Roman" w:hAnsi="Times New Roman" w:cs="Times New Roman"/>
          <w:b/>
          <w:bCs/>
          <w:noProof/>
          <w:kern w:val="36"/>
          <w:sz w:val="40"/>
          <w:szCs w:val="40"/>
        </w:rPr>
        <w:drawing>
          <wp:inline distT="0" distB="0" distL="0" distR="0" wp14:anchorId="6AF7805E" wp14:editId="30D7C881">
            <wp:extent cx="59436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58C9CED" w14:textId="21D378A2" w:rsidR="007416A2" w:rsidRPr="00D33330" w:rsidRDefault="007416A2" w:rsidP="00D33330">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7416A2">
        <w:rPr>
          <w:rFonts w:ascii="Times New Roman" w:eastAsia="Times New Roman" w:hAnsi="Times New Roman" w:cs="Times New Roman"/>
          <w:b/>
          <w:bCs/>
          <w:kern w:val="36"/>
          <w:sz w:val="24"/>
          <w:szCs w:val="24"/>
        </w:rPr>
        <w:t>ELECTION SECURITY, CAMPAIGNS FINANCING AND THE RESPONSIBILITY OF SECURITY AND ANTI-CORRUPTION AGENCIES IN NIGERIA</w:t>
      </w:r>
    </w:p>
    <w:p w14:paraId="2E6D36BF" w14:textId="7F470DE7" w:rsidR="007416A2" w:rsidRPr="00D33330" w:rsidRDefault="007416A2" w:rsidP="00D33330">
      <w:pPr>
        <w:spacing w:before="100" w:beforeAutospacing="1" w:after="100" w:afterAutospacing="1" w:line="240" w:lineRule="auto"/>
        <w:jc w:val="both"/>
        <w:rPr>
          <w:rFonts w:ascii="Times New Roman" w:eastAsia="Times New Roman" w:hAnsi="Times New Roman" w:cs="Times New Roman"/>
          <w:b/>
          <w:bCs/>
        </w:rPr>
      </w:pPr>
      <w:r w:rsidRPr="007416A2">
        <w:rPr>
          <w:rFonts w:ascii="Times New Roman" w:eastAsia="Times New Roman" w:hAnsi="Times New Roman" w:cs="Times New Roman"/>
          <w:b/>
          <w:bCs/>
        </w:rPr>
        <w:t>By Prof. Muhammed Tawfiq Ladan, PhD</w:t>
      </w:r>
    </w:p>
    <w:p w14:paraId="63ED577E" w14:textId="6FB18632" w:rsidR="001A1944" w:rsidRDefault="001A1944" w:rsidP="00D33330">
      <w:pPr>
        <w:spacing w:before="100" w:beforeAutospacing="1" w:after="100" w:afterAutospacing="1" w:line="240" w:lineRule="auto"/>
        <w:jc w:val="both"/>
        <w:rPr>
          <w:rFonts w:ascii="Times New Roman" w:eastAsia="Times New Roman" w:hAnsi="Times New Roman" w:cs="Times New Roman"/>
        </w:rPr>
      </w:pPr>
    </w:p>
    <w:p w14:paraId="08762387" w14:textId="373DB328" w:rsidR="00D33330" w:rsidRDefault="00D33330" w:rsidP="00D33330">
      <w:pPr>
        <w:spacing w:before="100" w:beforeAutospacing="1" w:after="100" w:afterAutospacing="1" w:line="240" w:lineRule="auto"/>
        <w:jc w:val="both"/>
        <w:rPr>
          <w:rFonts w:ascii="Times New Roman" w:eastAsia="Times New Roman" w:hAnsi="Times New Roman" w:cs="Times New Roman"/>
        </w:rPr>
      </w:pPr>
    </w:p>
    <w:p w14:paraId="550ED973" w14:textId="35B8FB67" w:rsidR="00D33330" w:rsidRDefault="00D33330" w:rsidP="00D33330">
      <w:pPr>
        <w:spacing w:before="100" w:beforeAutospacing="1" w:after="100" w:afterAutospacing="1" w:line="240" w:lineRule="auto"/>
        <w:jc w:val="both"/>
        <w:rPr>
          <w:rFonts w:ascii="Times New Roman" w:eastAsia="Times New Roman" w:hAnsi="Times New Roman" w:cs="Times New Roman"/>
        </w:rPr>
      </w:pPr>
    </w:p>
    <w:p w14:paraId="1491641B" w14:textId="77777777" w:rsidR="00D33330" w:rsidRPr="007416A2" w:rsidRDefault="00D33330" w:rsidP="00D33330">
      <w:pPr>
        <w:spacing w:before="100" w:beforeAutospacing="1" w:after="100" w:afterAutospacing="1" w:line="240" w:lineRule="auto"/>
        <w:jc w:val="both"/>
        <w:rPr>
          <w:rFonts w:ascii="Times New Roman" w:eastAsia="Times New Roman" w:hAnsi="Times New Roman" w:cs="Times New Roman"/>
        </w:rPr>
      </w:pPr>
    </w:p>
    <w:p w14:paraId="2EDA0099"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lastRenderedPageBreak/>
        <w:t>Executive Summary</w:t>
      </w:r>
    </w:p>
    <w:p w14:paraId="7C55C4CC"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This consolidated statutory brief integrates all previous frameworks regarding legal mandates, financial tracking, judicial trends, and digital asset oversight within Nigeria’s electoral environment. It systematically embeds the Electoral Act, 2026 (which formally repealed and replaced the 2022 Act), the Investments and Securities Act (ISA) 2025, and the latest August 2026 SEC Rules on Virtual Assets. [1, 2]</w:t>
      </w:r>
    </w:p>
    <w:p w14:paraId="016BB070"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Crucially, this updated text outlines the contemporary liability regime and compliance monitoring responsibilities, mapping out exactly how administrative, civil, and strict criminal liabilities apply to political parties, individual candidates, corporate donors, and financial platforms.</w:t>
      </w:r>
    </w:p>
    <w:p w14:paraId="1B5C6293"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1. Key Statutory Provisions &amp; The 2026 Electoral Act Framework</w:t>
      </w:r>
    </w:p>
    <w:p w14:paraId="423E697C"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The statutory boundaries for political financing are governed by the Electoral Act, 2026, which introduced substantial upward revisions to campaign spending caps to account for inflationary realities while tightening reporting rules: [1, 2]</w:t>
      </w:r>
    </w:p>
    <w:p w14:paraId="6F619558"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1.1 Updated Expenditure &amp; Contribution Thresholds (Sections 89, 91 &amp; 92)</w:t>
      </w:r>
    </w:p>
    <w:p w14:paraId="0DAB4AA8"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Presidential Campaigns:</w:t>
      </w:r>
      <w:r w:rsidRPr="007416A2">
        <w:rPr>
          <w:rFonts w:ascii="Times New Roman" w:eastAsia="Times New Roman" w:hAnsi="Times New Roman" w:cs="Times New Roman"/>
        </w:rPr>
        <w:t xml:space="preserve"> Capped at ₦10 billion (up from ₦5 billion under the 2022 Act).</w:t>
      </w:r>
    </w:p>
    <w:p w14:paraId="7F5BC1E7"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Gubernatorial Campaigns:</w:t>
      </w:r>
      <w:r w:rsidRPr="007416A2">
        <w:rPr>
          <w:rFonts w:ascii="Times New Roman" w:eastAsia="Times New Roman" w:hAnsi="Times New Roman" w:cs="Times New Roman"/>
        </w:rPr>
        <w:t xml:space="preserve"> Capped at ₦3 billion (up from ₦1 billion).</w:t>
      </w:r>
    </w:p>
    <w:p w14:paraId="7E2AC7EE"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Senatorial Campaigns:</w:t>
      </w:r>
      <w:r w:rsidRPr="007416A2">
        <w:rPr>
          <w:rFonts w:ascii="Times New Roman" w:eastAsia="Times New Roman" w:hAnsi="Times New Roman" w:cs="Times New Roman"/>
        </w:rPr>
        <w:t xml:space="preserve"> Capped at ₦500 million.</w:t>
      </w:r>
    </w:p>
    <w:p w14:paraId="4A44EFF8"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House of Representatives Campaigns:</w:t>
      </w:r>
      <w:r w:rsidRPr="007416A2">
        <w:rPr>
          <w:rFonts w:ascii="Times New Roman" w:eastAsia="Times New Roman" w:hAnsi="Times New Roman" w:cs="Times New Roman"/>
        </w:rPr>
        <w:t xml:space="preserve"> Capped at ₦250 million.</w:t>
      </w:r>
    </w:p>
    <w:p w14:paraId="51B6D655"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State House of Assembly &amp; Local Government Chairmanship:</w:t>
      </w:r>
      <w:r w:rsidRPr="007416A2">
        <w:rPr>
          <w:rFonts w:ascii="Times New Roman" w:eastAsia="Times New Roman" w:hAnsi="Times New Roman" w:cs="Times New Roman"/>
        </w:rPr>
        <w:t xml:space="preserve"> Capped at ₦100 million.</w:t>
      </w:r>
    </w:p>
    <w:p w14:paraId="6E496187"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Maximum Individual/Organizational Donation Cap:</w:t>
      </w:r>
      <w:r w:rsidRPr="007416A2">
        <w:rPr>
          <w:rFonts w:ascii="Times New Roman" w:eastAsia="Times New Roman" w:hAnsi="Times New Roman" w:cs="Times New Roman"/>
        </w:rPr>
        <w:t xml:space="preserve"> Raised tenfold from ₦50 million to ₦500 million per candidate.</w:t>
      </w:r>
    </w:p>
    <w:p w14:paraId="102F7267" w14:textId="77777777" w:rsidR="007416A2" w:rsidRPr="007416A2" w:rsidRDefault="007416A2" w:rsidP="00D33330">
      <w:pPr>
        <w:numPr>
          <w:ilvl w:val="0"/>
          <w:numId w:val="1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Recording Requirements:</w:t>
      </w:r>
      <w:r w:rsidRPr="007416A2">
        <w:rPr>
          <w:rFonts w:ascii="Times New Roman" w:eastAsia="Times New Roman" w:hAnsi="Times New Roman" w:cs="Times New Roman"/>
        </w:rPr>
        <w:t xml:space="preserve"> Any donation exceeding ₦100 million must be explicitly recorded with the donor's full, verified name and address. Anonymous donations remain strictly illegal. [1, 2, 3]</w:t>
      </w:r>
    </w:p>
    <w:p w14:paraId="0744A4BA"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1.2 Corporate Disqualification (CAMA 2020)</w:t>
      </w:r>
    </w:p>
    <w:p w14:paraId="6F7015BC"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Section 43(2) of the Companies and Allied Matters Act (CAMA), 2020 works alongside the Electoral Act, strictly prohibiting registered corporations from offering funds, property, or material benefits directly or indirectly to any political association, party, or candidate campaign team.</w:t>
      </w:r>
    </w:p>
    <w:p w14:paraId="39FEC6E8"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2. The Liability Regime: Executive, Candidate, and Platform Exposure</w:t>
      </w:r>
    </w:p>
    <w:p w14:paraId="7E2184A0"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The Electoral Act, 2026 and related financial regulations shift enforcement from institutional fines to individual criminal, civil, and administrative liabilities.</w:t>
      </w:r>
    </w:p>
    <w:p w14:paraId="66E9DFDD"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2.1 Political Party Executives &amp; Corporate Bodies</w:t>
      </w:r>
    </w:p>
    <w:p w14:paraId="353E174C" w14:textId="77777777" w:rsidR="007416A2" w:rsidRPr="007416A2" w:rsidRDefault="007416A2" w:rsidP="00D33330">
      <w:pPr>
        <w:numPr>
          <w:ilvl w:val="0"/>
          <w:numId w:val="1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Strict Auditing Timelines:</w:t>
      </w:r>
      <w:r w:rsidRPr="007416A2">
        <w:rPr>
          <w:rFonts w:ascii="Times New Roman" w:eastAsia="Times New Roman" w:hAnsi="Times New Roman" w:cs="Times New Roman"/>
        </w:rPr>
        <w:t xml:space="preserve"> Under Sections 91 and 92, political parties must publish a fully audited account of all election-related expenses within six months following the election in at least two national newspapers and via verified online platforms. [1]</w:t>
      </w:r>
    </w:p>
    <w:p w14:paraId="2A109BAC" w14:textId="77777777" w:rsidR="007416A2" w:rsidRPr="007416A2" w:rsidRDefault="007416A2" w:rsidP="00D33330">
      <w:pPr>
        <w:numPr>
          <w:ilvl w:val="0"/>
          <w:numId w:val="1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Executive Liability:</w:t>
      </w:r>
      <w:r w:rsidRPr="007416A2">
        <w:rPr>
          <w:rFonts w:ascii="Times New Roman" w:eastAsia="Times New Roman" w:hAnsi="Times New Roman" w:cs="Times New Roman"/>
        </w:rPr>
        <w:t xml:space="preserve"> Party chairmen, treasurers, and executive committee members face direct criminal liability. If a party submits false financial statements or conceals foreign assets, the executives are liable to fines up to ₦10 million or imprisonment, or both.</w:t>
      </w:r>
    </w:p>
    <w:p w14:paraId="5A30DFE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lastRenderedPageBreak/>
        <w:t>2.2 Individual Candidates</w:t>
      </w:r>
    </w:p>
    <w:p w14:paraId="2009EF78" w14:textId="77777777" w:rsidR="007416A2" w:rsidRPr="007416A2" w:rsidRDefault="007416A2" w:rsidP="00D33330">
      <w:pPr>
        <w:numPr>
          <w:ilvl w:val="0"/>
          <w:numId w:val="15"/>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Personal Criminal Culpability:</w:t>
      </w:r>
      <w:r w:rsidRPr="007416A2">
        <w:rPr>
          <w:rFonts w:ascii="Times New Roman" w:eastAsia="Times New Roman" w:hAnsi="Times New Roman" w:cs="Times New Roman"/>
        </w:rPr>
        <w:t xml:space="preserve"> Candidates can no longer claim ignorance of the actions of their campaign teams. Under Section 92, a candidate who knowingly exceeds statutory campaign ceilings or accepts an anonymous or corporate donation exceeding the legal limit commits a financial offense.</w:t>
      </w:r>
    </w:p>
    <w:p w14:paraId="38348691" w14:textId="77777777" w:rsidR="007416A2" w:rsidRPr="007416A2" w:rsidRDefault="007416A2" w:rsidP="00D33330">
      <w:pPr>
        <w:numPr>
          <w:ilvl w:val="0"/>
          <w:numId w:val="15"/>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Penalties:</w:t>
      </w:r>
      <w:r w:rsidRPr="007416A2">
        <w:rPr>
          <w:rFonts w:ascii="Times New Roman" w:eastAsia="Times New Roman" w:hAnsi="Times New Roman" w:cs="Times New Roman"/>
        </w:rPr>
        <w:t xml:space="preserve"> Penalties include a direct fine of 1% of the statutory limit of the office sought, up to 12 months imprisonment, or both.</w:t>
      </w:r>
    </w:p>
    <w:p w14:paraId="521B367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2.3 Digital Platforms and Virtual Asset Service Providers (VASPs)</w:t>
      </w:r>
    </w:p>
    <w:p w14:paraId="7904C871" w14:textId="77777777" w:rsidR="007416A2" w:rsidRPr="007416A2" w:rsidRDefault="007416A2" w:rsidP="00D33330">
      <w:pPr>
        <w:numPr>
          <w:ilvl w:val="0"/>
          <w:numId w:val="16"/>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Intermediary Liability:</w:t>
      </w:r>
      <w:r w:rsidRPr="007416A2">
        <w:rPr>
          <w:rFonts w:ascii="Times New Roman" w:eastAsia="Times New Roman" w:hAnsi="Times New Roman" w:cs="Times New Roman"/>
        </w:rPr>
        <w:t xml:space="preserve"> Under the August 2026 SEC Rules, registered digital asset platforms, exchanges, and peer-to-peer (P2P) desks face severe administrative sanctions if they facilitate unmonitored political fundraising.</w:t>
      </w:r>
    </w:p>
    <w:p w14:paraId="478AA21E" w14:textId="77777777" w:rsidR="007416A2" w:rsidRPr="007416A2" w:rsidRDefault="007416A2" w:rsidP="00D33330">
      <w:pPr>
        <w:numPr>
          <w:ilvl w:val="0"/>
          <w:numId w:val="16"/>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Sanctions for Shielded Ad Funding:</w:t>
      </w:r>
      <w:r w:rsidRPr="007416A2">
        <w:rPr>
          <w:rFonts w:ascii="Times New Roman" w:eastAsia="Times New Roman" w:hAnsi="Times New Roman" w:cs="Times New Roman"/>
        </w:rPr>
        <w:t xml:space="preserve"> Platforms that host anonymous or unverified political campaign crowdfunding advertisements are held strictly liable. Sanctions include the immediate revocation of their SEC operating license, heavy corporate fines, and the potential prosecution of their compliance officers as accessories to election finance infractions. [1]</w:t>
      </w:r>
    </w:p>
    <w:p w14:paraId="2C7A3789"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3. Compliance Monitoring Responsibilities</w:t>
      </w:r>
    </w:p>
    <w:p w14:paraId="67B1460E"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Enforcement relies on sharing tracking tasks across independent regulatory and security frameworks:</w:t>
      </w:r>
    </w:p>
    <w:p w14:paraId="16D96546"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3.1 The Independent National Electoral Commission (INEC)</w:t>
      </w:r>
    </w:p>
    <w:p w14:paraId="2D0EEE45" w14:textId="77777777" w:rsidR="007416A2" w:rsidRPr="007416A2" w:rsidRDefault="007416A2" w:rsidP="00D33330">
      <w:pPr>
        <w:numPr>
          <w:ilvl w:val="0"/>
          <w:numId w:val="17"/>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Primary Oversight Mandate:</w:t>
      </w:r>
      <w:r w:rsidRPr="007416A2">
        <w:rPr>
          <w:rFonts w:ascii="Times New Roman" w:eastAsia="Times New Roman" w:hAnsi="Times New Roman" w:cs="Times New Roman"/>
        </w:rPr>
        <w:t xml:space="preserve"> INEC holds the constitutional and statutory power to monitor party congresses, audit bank balances, and examine overall political spending.</w:t>
      </w:r>
    </w:p>
    <w:p w14:paraId="30D79D9E" w14:textId="77777777" w:rsidR="007416A2" w:rsidRPr="007416A2" w:rsidRDefault="007416A2" w:rsidP="00D33330">
      <w:pPr>
        <w:numPr>
          <w:ilvl w:val="0"/>
          <w:numId w:val="17"/>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The Campaign Finance Monitoring Unit:</w:t>
      </w:r>
      <w:r w:rsidRPr="007416A2">
        <w:rPr>
          <w:rFonts w:ascii="Times New Roman" w:eastAsia="Times New Roman" w:hAnsi="Times New Roman" w:cs="Times New Roman"/>
        </w:rPr>
        <w:t xml:space="preserve"> This specialized desk within INEC is legally empowered to deploy field auditors to inspect campaign registers, track spending logs during the 150-day campaign window, and cross-reference disclosure forms filed by political parties. [1, 2, 3]</w:t>
      </w:r>
    </w:p>
    <w:p w14:paraId="5AC673FD"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3.2 The Anti-Corruption Network (EFCC, ICPC, and NFIU)</w:t>
      </w:r>
    </w:p>
    <w:p w14:paraId="0A5C9697" w14:textId="77777777" w:rsidR="007416A2" w:rsidRPr="007416A2" w:rsidRDefault="007416A2" w:rsidP="00D33330">
      <w:pPr>
        <w:numPr>
          <w:ilvl w:val="0"/>
          <w:numId w:val="18"/>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Real-Time Transaction Tracking:</w:t>
      </w:r>
      <w:r w:rsidRPr="007416A2">
        <w:rPr>
          <w:rFonts w:ascii="Times New Roman" w:eastAsia="Times New Roman" w:hAnsi="Times New Roman" w:cs="Times New Roman"/>
        </w:rPr>
        <w:t xml:space="preserve"> While INEC reviews financial statements retroactively, the Nigerian Financial Intelligence Unit (NFIU) conducts real-time compliance monitoring by tracking bank transactions for suspicious cash surges linked to politically exposed persons (PEPs).</w:t>
      </w:r>
    </w:p>
    <w:p w14:paraId="1D09E4FE" w14:textId="77777777" w:rsidR="007416A2" w:rsidRPr="007416A2" w:rsidRDefault="007416A2" w:rsidP="00D33330">
      <w:pPr>
        <w:numPr>
          <w:ilvl w:val="0"/>
          <w:numId w:val="18"/>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Field Enforcement &amp; Vote-Buying Sweeps:</w:t>
      </w:r>
      <w:r w:rsidRPr="007416A2">
        <w:rPr>
          <w:rFonts w:ascii="Times New Roman" w:eastAsia="Times New Roman" w:hAnsi="Times New Roman" w:cs="Times New Roman"/>
        </w:rPr>
        <w:t xml:space="preserve"> The EFCC and ICPC deploy field compliance teams to party primaries, rallies, and polling units. They look for cash distribution networks, pre-loaded ATM cards, or material bribery intended to influence voters. [1]</w:t>
      </w:r>
    </w:p>
    <w:p w14:paraId="1FA2985A"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3.3 Security Agencies (NPF, DSS, NSCDC, and ICCES)</w:t>
      </w:r>
    </w:p>
    <w:p w14:paraId="3BBB716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Physical Monitoring &amp; Public Order:</w:t>
      </w:r>
      <w:r w:rsidRPr="007416A2">
        <w:rPr>
          <w:rFonts w:ascii="Times New Roman" w:eastAsia="Times New Roman" w:hAnsi="Times New Roman" w:cs="Times New Roman"/>
        </w:rPr>
        <w:t xml:space="preserve"> Managed under the Inter-Agency Consultative Committee on Election Security (ICCES), the Nigeria Police Force provides physical security for compliance teams, protects whistleblowers, and arrests political thugs who disrupt field monitoring operations.</w:t>
      </w:r>
    </w:p>
    <w:p w14:paraId="20F9C1C0"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3.4 Citizen-Led Monitoring &amp; Legal Standing</w:t>
      </w:r>
    </w:p>
    <w:p w14:paraId="288AB3F9"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lastRenderedPageBreak/>
        <w:t>Public Right of Action:</w:t>
      </w:r>
      <w:r w:rsidRPr="007416A2">
        <w:rPr>
          <w:rFonts w:ascii="Times New Roman" w:eastAsia="Times New Roman" w:hAnsi="Times New Roman" w:cs="Times New Roman"/>
        </w:rPr>
        <w:t xml:space="preserve"> The Electoral Act, 2026 grants ordinary citizens the right to demand access to copies of a candidate's audited campaign finance statement filed with INEC. If overspending or illegal corporate funding is found, citizens can submit formal complaints directly to law enforcement, establishing a decentralized tracking mechanism. [1]</w:t>
      </w:r>
    </w:p>
    <w:p w14:paraId="6C272D66"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4. Digital Asset Evolution &amp; Foreign Funding Vulnerabilities</w:t>
      </w:r>
    </w:p>
    <w:p w14:paraId="36058902"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As banking controls tighten, political campaigns rely heavily on digital and cross-border channels, exposing gaps between old statutory definitions and modern financial technologies.</w:t>
      </w:r>
    </w:p>
    <w:p w14:paraId="0D65DB62" w14:textId="33787284" w:rsidR="007416A2" w:rsidRPr="00D33330" w:rsidRDefault="007416A2" w:rsidP="00D33330">
      <w:pPr>
        <w:pStyle w:val="ListParagraph"/>
        <w:numPr>
          <w:ilvl w:val="1"/>
          <w:numId w:val="25"/>
        </w:numPr>
        <w:spacing w:before="100" w:beforeAutospacing="1" w:after="100" w:afterAutospacing="1" w:line="240" w:lineRule="auto"/>
        <w:jc w:val="both"/>
        <w:rPr>
          <w:rFonts w:ascii="Times New Roman" w:eastAsia="Times New Roman" w:hAnsi="Times New Roman" w:cs="Times New Roman"/>
        </w:rPr>
      </w:pPr>
      <w:r w:rsidRPr="00D33330">
        <w:rPr>
          <w:rFonts w:ascii="Times New Roman" w:eastAsia="Times New Roman" w:hAnsi="Times New Roman" w:cs="Times New Roman"/>
          <w:b/>
          <w:bCs/>
        </w:rPr>
        <w:t>The Foreign Funding Restrictions</w:t>
      </w:r>
    </w:p>
    <w:p w14:paraId="38FE2F71" w14:textId="77777777" w:rsidR="00D33330" w:rsidRPr="00D33330" w:rsidRDefault="007416A2" w:rsidP="00D33330">
      <w:pPr>
        <w:numPr>
          <w:ilvl w:val="0"/>
          <w:numId w:val="19"/>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The Foreign Funds Restriction (Section 89):</w:t>
      </w:r>
      <w:r w:rsidRPr="007416A2">
        <w:rPr>
          <w:rFonts w:ascii="Times New Roman" w:eastAsia="Times New Roman" w:hAnsi="Times New Roman" w:cs="Times New Roman"/>
        </w:rPr>
        <w:t xml:space="preserve"> The Electoral Act, 2026 reinforces the constitutional ban under Section 225(3) of the 1999 Constitution, strictly prohibiting political parties from holding, retaining, or using funds or assets remitted from outside Nigeria. Any foreign remittance received by a party must be surrendered directly to INEC within 21 days. Violations carry a minimum statutory fine of ₦5,000,000 alongside the complete forfeiture of the assets.</w:t>
      </w:r>
    </w:p>
    <w:p w14:paraId="3A13DE5B" w14:textId="77777777" w:rsidR="00D33330" w:rsidRPr="00D33330" w:rsidRDefault="00D33330" w:rsidP="00D33330">
      <w:pPr>
        <w:spacing w:before="100" w:beforeAutospacing="1" w:after="100" w:afterAutospacing="1" w:line="240" w:lineRule="auto"/>
        <w:ind w:left="360"/>
        <w:jc w:val="both"/>
        <w:rPr>
          <w:rFonts w:ascii="Times New Roman" w:eastAsia="Times New Roman" w:hAnsi="Times New Roman" w:cs="Times New Roman"/>
        </w:rPr>
      </w:pPr>
    </w:p>
    <w:p w14:paraId="248A3657" w14:textId="3E360969" w:rsidR="007416A2" w:rsidRPr="007416A2" w:rsidRDefault="007416A2" w:rsidP="00D33330">
      <w:pPr>
        <w:numPr>
          <w:ilvl w:val="0"/>
          <w:numId w:val="19"/>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The Candidate Loophole:</w:t>
      </w:r>
      <w:r w:rsidRPr="007416A2">
        <w:rPr>
          <w:rFonts w:ascii="Times New Roman" w:eastAsia="Times New Roman" w:hAnsi="Times New Roman" w:cs="Times New Roman"/>
        </w:rPr>
        <w:t xml:space="preserve"> Because appellate courts draw a sharp line between a political party and an individual candidate, diaspora crowdfunding campaigns routed into a candidate’s personal campaign team accounts escape automatic constitutional forfeiture. While legally capped by the individual limit of ₦500 million, tracking these transactions requires deep coordination between the NFIU and bank compliance units. [1, 2]</w:t>
      </w:r>
    </w:p>
    <w:p w14:paraId="655371A2"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4.2 The Crypto Regulatory Landscape (ISA 2025 &amp; The 2026 Executive Order)</w:t>
      </w:r>
    </w:p>
    <w:p w14:paraId="4D3B3F60" w14:textId="77777777" w:rsidR="007416A2" w:rsidRPr="007416A2" w:rsidRDefault="007416A2" w:rsidP="00D33330">
      <w:pPr>
        <w:numPr>
          <w:ilvl w:val="0"/>
          <w:numId w:val="20"/>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Statutory Classification (ISA 2025):</w:t>
      </w:r>
      <w:r w:rsidRPr="007416A2">
        <w:rPr>
          <w:rFonts w:ascii="Times New Roman" w:eastAsia="Times New Roman" w:hAnsi="Times New Roman" w:cs="Times New Roman"/>
        </w:rPr>
        <w:t xml:space="preserve"> The Investments and Securities Act (ISA) 2025 explicitly expands the definition of "securities" to include virtual assets, cryptocurrencies, and digital investment contracts, placing digital assets directly under the purview of the Securities and Exchange Commission (SEC) Nigeria.</w:t>
      </w:r>
    </w:p>
    <w:p w14:paraId="74FB1273" w14:textId="27462CDD" w:rsidR="007416A2" w:rsidRPr="00D33330" w:rsidRDefault="007416A2" w:rsidP="00D33330">
      <w:pPr>
        <w:numPr>
          <w:ilvl w:val="0"/>
          <w:numId w:val="20"/>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Virtual Assets Coordination Executive Order (2026):</w:t>
      </w:r>
      <w:r w:rsidRPr="007416A2">
        <w:rPr>
          <w:rFonts w:ascii="Times New Roman" w:eastAsia="Times New Roman" w:hAnsi="Times New Roman" w:cs="Times New Roman"/>
        </w:rPr>
        <w:t xml:space="preserve"> This executive order established the Virtual Asset Council—chaired by the Central Bank of Nigeria (CBN) alongside the SEC, NFIU, and the Office of the National Security Advisor (ONSA). The centralized Virtual Asset Office inside the CBN allows regulators to track unmonitored campaign crowdfunding campaigns.</w:t>
      </w:r>
    </w:p>
    <w:p w14:paraId="4A33F207" w14:textId="77777777" w:rsidR="00D33330" w:rsidRPr="007416A2" w:rsidRDefault="00D33330" w:rsidP="00D33330">
      <w:pPr>
        <w:spacing w:before="100" w:beforeAutospacing="1" w:after="100" w:afterAutospacing="1" w:line="240" w:lineRule="auto"/>
        <w:jc w:val="both"/>
        <w:rPr>
          <w:rFonts w:ascii="Times New Roman" w:eastAsia="Times New Roman" w:hAnsi="Times New Roman" w:cs="Times New Roman"/>
        </w:rPr>
      </w:pPr>
    </w:p>
    <w:p w14:paraId="5EFFB80B" w14:textId="77777777" w:rsidR="007416A2" w:rsidRPr="007416A2" w:rsidRDefault="007416A2" w:rsidP="00D33330">
      <w:pPr>
        <w:numPr>
          <w:ilvl w:val="0"/>
          <w:numId w:val="20"/>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The August 2026 SEC Rules:</w:t>
      </w:r>
      <w:r w:rsidRPr="007416A2">
        <w:rPr>
          <w:rFonts w:ascii="Times New Roman" w:eastAsia="Times New Roman" w:hAnsi="Times New Roman" w:cs="Times New Roman"/>
        </w:rPr>
        <w:t xml:space="preserve"> The SEC's definitive rules introduced a state-controlled National Digital Assets Confiscation Wallet, enabling the EFCC and NFIU to freeze cryptocurrency assets flagged for illegal electioneering. The rules also strictly ban anonymity-enhanced virtual assets (privacy coins) and hold digital platforms liable for hosting unapproved political fundraising advertisements.</w:t>
      </w:r>
    </w:p>
    <w:p w14:paraId="134457FD" w14:textId="77777777" w:rsidR="007416A2" w:rsidRPr="007416A2" w:rsidRDefault="007416A2" w:rsidP="00D33330">
      <w:pPr>
        <w:numPr>
          <w:ilvl w:val="0"/>
          <w:numId w:val="20"/>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P2P Layering Realities:</w:t>
      </w:r>
      <w:r w:rsidRPr="007416A2">
        <w:rPr>
          <w:rFonts w:ascii="Times New Roman" w:eastAsia="Times New Roman" w:hAnsi="Times New Roman" w:cs="Times New Roman"/>
        </w:rPr>
        <w:t xml:space="preserve"> Despite these rules, decentralized peer-to-peer (P2P) transfers allow local actors to acquire </w:t>
      </w:r>
      <w:proofErr w:type="spellStart"/>
      <w:r w:rsidRPr="007416A2">
        <w:rPr>
          <w:rFonts w:ascii="Times New Roman" w:eastAsia="Times New Roman" w:hAnsi="Times New Roman" w:cs="Times New Roman"/>
        </w:rPr>
        <w:t>stablecoins</w:t>
      </w:r>
      <w:proofErr w:type="spellEnd"/>
      <w:r w:rsidRPr="007416A2">
        <w:rPr>
          <w:rFonts w:ascii="Times New Roman" w:eastAsia="Times New Roman" w:hAnsi="Times New Roman" w:cs="Times New Roman"/>
        </w:rPr>
        <w:t xml:space="preserve"> (such as USDT) using cash and transfer them directly into private wallets, evading automated commercial banking triggers.</w:t>
      </w:r>
    </w:p>
    <w:p w14:paraId="3FF03E28"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5. Appellate Case Law Trends</w:t>
      </w:r>
    </w:p>
    <w:p w14:paraId="7E8D55AD"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lastRenderedPageBreak/>
        <w:t>Nigerian appellate courts require high standards of proof and strict adherence to timelines for election petitions involving financial crimes.</w:t>
      </w:r>
    </w:p>
    <w:p w14:paraId="0F1CC330"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 xml:space="preserve">5.1 Evidentiary </w:t>
      </w:r>
      <w:proofErr w:type="spellStart"/>
      <w:r w:rsidRPr="007416A2">
        <w:rPr>
          <w:rFonts w:ascii="Times New Roman" w:eastAsia="Times New Roman" w:hAnsi="Times New Roman" w:cs="Times New Roman"/>
          <w:b/>
          <w:bCs/>
        </w:rPr>
        <w:t>Rigour</w:t>
      </w:r>
      <w:proofErr w:type="spellEnd"/>
      <w:r w:rsidRPr="007416A2">
        <w:rPr>
          <w:rFonts w:ascii="Times New Roman" w:eastAsia="Times New Roman" w:hAnsi="Times New Roman" w:cs="Times New Roman"/>
          <w:b/>
          <w:bCs/>
        </w:rPr>
        <w:t xml:space="preserve"> in Vote-Buying Allegations</w:t>
      </w:r>
    </w:p>
    <w:p w14:paraId="5D78CD4C"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 xml:space="preserve">In </w:t>
      </w:r>
      <w:proofErr w:type="spellStart"/>
      <w:r w:rsidRPr="007416A2">
        <w:rPr>
          <w:rFonts w:ascii="Times New Roman" w:eastAsia="Times New Roman" w:hAnsi="Times New Roman" w:cs="Times New Roman"/>
        </w:rPr>
        <w:t>Adebutu</w:t>
      </w:r>
      <w:proofErr w:type="spellEnd"/>
      <w:r w:rsidRPr="007416A2">
        <w:rPr>
          <w:rFonts w:ascii="Times New Roman" w:eastAsia="Times New Roman" w:hAnsi="Times New Roman" w:cs="Times New Roman"/>
        </w:rPr>
        <w:t xml:space="preserve"> v. Abiodun (Court of Appeal, 2023), the petitioner alleged widespread vote-buying via pre-loaded bank ATM cards distributed on election day. The Court of Appeal upheld the election tribunal’s strike-out of these allegations, ruling that:</w:t>
      </w:r>
    </w:p>
    <w:p w14:paraId="7E68B3AC" w14:textId="77777777" w:rsidR="007416A2" w:rsidRPr="007416A2" w:rsidRDefault="007416A2" w:rsidP="00D33330">
      <w:pPr>
        <w:numPr>
          <w:ilvl w:val="0"/>
          <w:numId w:val="21"/>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Criminal allegations within election petitions must be pleaded with extreme specificity at the earliest opportunity.</w:t>
      </w:r>
    </w:p>
    <w:p w14:paraId="11C1D03D" w14:textId="77777777" w:rsidR="007416A2" w:rsidRPr="007416A2" w:rsidRDefault="007416A2" w:rsidP="00D33330">
      <w:pPr>
        <w:numPr>
          <w:ilvl w:val="0"/>
          <w:numId w:val="21"/>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Vague or delayed assertions of financial inducement introduced via later replies violate the strict timelines in Paragraph 16(1) of the First Schedule to the Electoral Act.</w:t>
      </w:r>
    </w:p>
    <w:p w14:paraId="535E6649"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5.2 Parallel Criminal Prosecutions</w:t>
      </w:r>
    </w:p>
    <w:p w14:paraId="6786EC36"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 xml:space="preserve">The courts separate civil election petitions from criminal accountability. In Federal Republic of Nigeria v. </w:t>
      </w:r>
      <w:proofErr w:type="spellStart"/>
      <w:r w:rsidRPr="007416A2">
        <w:rPr>
          <w:rFonts w:ascii="Times New Roman" w:eastAsia="Times New Roman" w:hAnsi="Times New Roman" w:cs="Times New Roman"/>
        </w:rPr>
        <w:t>Adebutu</w:t>
      </w:r>
      <w:proofErr w:type="spellEnd"/>
      <w:r w:rsidRPr="007416A2">
        <w:rPr>
          <w:rFonts w:ascii="Times New Roman" w:eastAsia="Times New Roman" w:hAnsi="Times New Roman" w:cs="Times New Roman"/>
        </w:rPr>
        <w:t xml:space="preserve"> &amp; </w:t>
      </w:r>
      <w:proofErr w:type="spellStart"/>
      <w:r w:rsidRPr="007416A2">
        <w:rPr>
          <w:rFonts w:ascii="Times New Roman" w:eastAsia="Times New Roman" w:hAnsi="Times New Roman" w:cs="Times New Roman"/>
        </w:rPr>
        <w:t>Ors</w:t>
      </w:r>
      <w:proofErr w:type="spellEnd"/>
      <w:r w:rsidRPr="007416A2">
        <w:rPr>
          <w:rFonts w:ascii="Times New Roman" w:eastAsia="Times New Roman" w:hAnsi="Times New Roman" w:cs="Times New Roman"/>
        </w:rPr>
        <w:t xml:space="preserve"> (2024), the state pursued criminal charges for financial inducements independently of the election tribunal outcomes. This confirms that security and anti-graft agencies can prosecute campaign finance crimes in regular courts even if the election results themselves are upheld due to strict tribunal thresholds.</w:t>
      </w:r>
    </w:p>
    <w:p w14:paraId="3E20D0D3"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6. Structural and Operational Challenges</w:t>
      </w:r>
    </w:p>
    <w:p w14:paraId="0BF7F62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6.1 Pervasive Cash Economy</w:t>
      </w:r>
    </w:p>
    <w:p w14:paraId="42AA5B21"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Despite digital banking options, rural campaigns rely heavily on physical currency. This cash-based operation circumvents banking networks, rendering real-time tracking by the NFIU difficult.</w:t>
      </w:r>
    </w:p>
    <w:p w14:paraId="1C76E698"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6.2 The Burden of Criminal Proof</w:t>
      </w:r>
    </w:p>
    <w:p w14:paraId="1879146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To nullify an election based on financial malpractice, a petitioner must prove "beyond a reasonable doubt" that the candidate committed the violation and that it directly impacted the outcome—a difficult standard to meet within tight tribunal deadlines.</w:t>
      </w:r>
    </w:p>
    <w:p w14:paraId="780FD228"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6.3 Inter-Agency Friction</w:t>
      </w:r>
    </w:p>
    <w:p w14:paraId="11FE5194"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ICCES serves as a coordinating body, but a lack of automated data sharing between police databases, the Corporate Affairs Commission (CAC), and anti-graft agencies slows down investigations.</w:t>
      </w:r>
    </w:p>
    <w:p w14:paraId="648C56C8"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6.4 Political Interference</w:t>
      </w:r>
    </w:p>
    <w:p w14:paraId="76EA237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Investigative agencies often face pressure from ruling elites, feeding public skepticism that enforcement targeting campaign spending is selectively applied against opposition figures.</w:t>
      </w:r>
    </w:p>
    <w:p w14:paraId="0F5EE918"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7. Strategic Recommendations</w:t>
      </w:r>
    </w:p>
    <w:p w14:paraId="4720EA00"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7.1 For the Independent National Electoral Commission (INEC)</w:t>
      </w:r>
    </w:p>
    <w:p w14:paraId="54BDE940" w14:textId="45D8C4EB" w:rsidR="007416A2" w:rsidRPr="00D33330" w:rsidRDefault="007416A2" w:rsidP="00D33330">
      <w:pPr>
        <w:numPr>
          <w:ilvl w:val="0"/>
          <w:numId w:val="22"/>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lastRenderedPageBreak/>
        <w:t>Integrate with the Virtual Asset Office:</w:t>
      </w:r>
      <w:r w:rsidRPr="007416A2">
        <w:rPr>
          <w:rFonts w:ascii="Times New Roman" w:eastAsia="Times New Roman" w:hAnsi="Times New Roman" w:cs="Times New Roman"/>
        </w:rPr>
        <w:t xml:space="preserve"> Formally embed an auxiliary tracking desk within the CBN-hosted Virtual Asset Office to cross-reference candidate asset disclosures with real-time wallet tracing data.</w:t>
      </w:r>
    </w:p>
    <w:p w14:paraId="28074510" w14:textId="77777777" w:rsidR="00D33330" w:rsidRPr="007416A2" w:rsidRDefault="00D33330" w:rsidP="00D33330">
      <w:pPr>
        <w:spacing w:before="100" w:beforeAutospacing="1" w:after="100" w:afterAutospacing="1" w:line="240" w:lineRule="auto"/>
        <w:jc w:val="both"/>
        <w:rPr>
          <w:rFonts w:ascii="Times New Roman" w:eastAsia="Times New Roman" w:hAnsi="Times New Roman" w:cs="Times New Roman"/>
        </w:rPr>
      </w:pPr>
    </w:p>
    <w:p w14:paraId="14AA21A2" w14:textId="77777777" w:rsidR="007416A2" w:rsidRPr="007416A2" w:rsidRDefault="007416A2" w:rsidP="00D33330">
      <w:pPr>
        <w:numPr>
          <w:ilvl w:val="0"/>
          <w:numId w:val="22"/>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Deploy Digital Disclosure Portals:</w:t>
      </w:r>
      <w:r w:rsidRPr="007416A2">
        <w:rPr>
          <w:rFonts w:ascii="Times New Roman" w:eastAsia="Times New Roman" w:hAnsi="Times New Roman" w:cs="Times New Roman"/>
        </w:rPr>
        <w:t xml:space="preserve"> Mandate a secure digital portal where political parties must upload weekly donation logs and expenditure records during the statutory 150-day campaign window. [1, 2]</w:t>
      </w:r>
    </w:p>
    <w:p w14:paraId="5DD8EE1C"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7.2 For Anti-Corruption Agencies (EFCC, ICPC, NFIU)</w:t>
      </w:r>
    </w:p>
    <w:p w14:paraId="66339318" w14:textId="77777777" w:rsidR="007416A2" w:rsidRPr="007416A2" w:rsidRDefault="007416A2" w:rsidP="00D33330">
      <w:pPr>
        <w:numPr>
          <w:ilvl w:val="0"/>
          <w:numId w:val="2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Utilize the National Confiscation Wallet:</w:t>
      </w:r>
      <w:r w:rsidRPr="007416A2">
        <w:rPr>
          <w:rFonts w:ascii="Times New Roman" w:eastAsia="Times New Roman" w:hAnsi="Times New Roman" w:cs="Times New Roman"/>
        </w:rPr>
        <w:t xml:space="preserve"> Proactively apply for asset forfeiture orders under the ISA 2025 and the August 2026 SEC Rules to instantly seize cryptocurrency assets flagged for illegal electioneering before they are converted into physical cash.</w:t>
      </w:r>
    </w:p>
    <w:p w14:paraId="639EE146" w14:textId="77777777" w:rsidR="007416A2" w:rsidRPr="007416A2" w:rsidRDefault="007416A2" w:rsidP="00D33330">
      <w:pPr>
        <w:numPr>
          <w:ilvl w:val="0"/>
          <w:numId w:val="23"/>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Enforce Corporate Gifting Prohibitions:</w:t>
      </w:r>
      <w:r w:rsidRPr="007416A2">
        <w:rPr>
          <w:rFonts w:ascii="Times New Roman" w:eastAsia="Times New Roman" w:hAnsi="Times New Roman" w:cs="Times New Roman"/>
        </w:rPr>
        <w:t xml:space="preserve"> Conduct audits of corporate compliance with Section 43(2) of CAMA, prosecuting directors who disguise political donations as corporate social responsibility (CSR) initiatives.</w:t>
      </w:r>
    </w:p>
    <w:p w14:paraId="6135274C"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7.3 For Security Agencies (NPF, DSS, NSCDC)</w:t>
      </w:r>
    </w:p>
    <w:p w14:paraId="4F318BE4"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Standardize Digital Evidence Gathering:</w:t>
      </w:r>
      <w:r w:rsidRPr="007416A2">
        <w:rPr>
          <w:rFonts w:ascii="Times New Roman" w:eastAsia="Times New Roman" w:hAnsi="Times New Roman" w:cs="Times New Roman"/>
        </w:rPr>
        <w:t xml:space="preserve"> Train field personnel on how to secure digital evidence, photograph financial logs, and trace card distributions during enforcement operations so that evidence meets appellate standards.</w:t>
      </w:r>
    </w:p>
    <w:p w14:paraId="3AD07847"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7.4 For the Judiciary</w:t>
      </w:r>
    </w:p>
    <w:p w14:paraId="6AA31C73"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Support Specialized Electoral Offenses Tribunals:</w:t>
      </w:r>
      <w:r w:rsidRPr="007416A2">
        <w:rPr>
          <w:rFonts w:ascii="Times New Roman" w:eastAsia="Times New Roman" w:hAnsi="Times New Roman" w:cs="Times New Roman"/>
        </w:rPr>
        <w:t xml:space="preserve"> Advocate for specialized courts to handle campaign financing and vote-buying offenses, ensuring fast-track prosecutions that conclude before affected officials take office.</w:t>
      </w:r>
    </w:p>
    <w:p w14:paraId="0E874DC2"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8. Conclusion</w:t>
      </w:r>
    </w:p>
    <w:p w14:paraId="77BEC71E"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Nigeria's legal framework provides a strong foundation for managing campaign financing and protecting elections. With the enactment of the Electoral Act, 2026, the ISA 2025, and the Presidential Executive Order on Virtual Assets Coordination 2026, the old excuses of regulatory gaps regarding digital currencies and modified spending limits are no longer valid.</w:t>
      </w:r>
    </w:p>
    <w:p w14:paraId="6CE9BA37" w14:textId="77777777" w:rsidR="007416A2" w:rsidRPr="007416A2" w:rsidRDefault="007416A2" w:rsidP="00D33330">
      <w:p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rPr>
        <w:t>Accountability now depends on whether enforcement agencies can turn financial intelligence into legally sound evidence that satisfies the high standards of appellate courts. [1, 2]</w:t>
      </w:r>
    </w:p>
    <w:p w14:paraId="5D99B49C" w14:textId="77777777" w:rsidR="007416A2" w:rsidRPr="007416A2" w:rsidRDefault="007416A2" w:rsidP="00D33330">
      <w:pPr>
        <w:spacing w:before="100" w:beforeAutospacing="1" w:after="100" w:afterAutospacing="1" w:line="240" w:lineRule="auto"/>
        <w:jc w:val="both"/>
        <w:outlineLvl w:val="2"/>
        <w:rPr>
          <w:rFonts w:ascii="Times New Roman" w:eastAsia="Times New Roman" w:hAnsi="Times New Roman" w:cs="Times New Roman"/>
          <w:b/>
          <w:bCs/>
        </w:rPr>
      </w:pPr>
      <w:r w:rsidRPr="007416A2">
        <w:rPr>
          <w:rFonts w:ascii="Times New Roman" w:eastAsia="Times New Roman" w:hAnsi="Times New Roman" w:cs="Times New Roman"/>
          <w:b/>
          <w:bCs/>
        </w:rPr>
        <w:t>Endnotes &amp; References</w:t>
      </w:r>
    </w:p>
    <w:p w14:paraId="6CB29C69"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Statutory Limits &amp; Guidelines:</w:t>
      </w:r>
      <w:r w:rsidRPr="007416A2">
        <w:rPr>
          <w:rFonts w:ascii="Times New Roman" w:eastAsia="Times New Roman" w:hAnsi="Times New Roman" w:cs="Times New Roman"/>
        </w:rPr>
        <w:t xml:space="preserve"> Electoral Act, 2026 (repealing Act No. 13, 2022), Federal Republic of Nigeria Official Gazette, Sections 89, 91, 92.</w:t>
      </w:r>
    </w:p>
    <w:p w14:paraId="1B275CE3"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Corporate Prohibitions:</w:t>
      </w:r>
      <w:r w:rsidRPr="007416A2">
        <w:rPr>
          <w:rFonts w:ascii="Times New Roman" w:eastAsia="Times New Roman" w:hAnsi="Times New Roman" w:cs="Times New Roman"/>
        </w:rPr>
        <w:t xml:space="preserve"> Companies and Allied Matters Act (CAMA) 2020, Section 43(2).</w:t>
      </w:r>
    </w:p>
    <w:p w14:paraId="502323F1"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Constitutional Restrictions on Foreign Wealth:</w:t>
      </w:r>
      <w:r w:rsidRPr="007416A2">
        <w:rPr>
          <w:rFonts w:ascii="Times New Roman" w:eastAsia="Times New Roman" w:hAnsi="Times New Roman" w:cs="Times New Roman"/>
        </w:rPr>
        <w:t xml:space="preserve"> Constitution of the Federal Republic of Nigeria 1999, Section 225(3)(a)-(b) (as altered).</w:t>
      </w:r>
    </w:p>
    <w:p w14:paraId="6F26A638"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lastRenderedPageBreak/>
        <w:t>Pleadings Jurisprudence:</w:t>
      </w:r>
      <w:r w:rsidRPr="007416A2">
        <w:rPr>
          <w:rFonts w:ascii="Times New Roman" w:eastAsia="Times New Roman" w:hAnsi="Times New Roman" w:cs="Times New Roman"/>
        </w:rPr>
        <w:t xml:space="preserve"> </w:t>
      </w:r>
      <w:proofErr w:type="spellStart"/>
      <w:r w:rsidRPr="007416A2">
        <w:rPr>
          <w:rFonts w:ascii="Times New Roman" w:eastAsia="Times New Roman" w:hAnsi="Times New Roman" w:cs="Times New Roman"/>
        </w:rPr>
        <w:t>Ladi</w:t>
      </w:r>
      <w:proofErr w:type="spellEnd"/>
      <w:r w:rsidRPr="007416A2">
        <w:rPr>
          <w:rFonts w:ascii="Times New Roman" w:eastAsia="Times New Roman" w:hAnsi="Times New Roman" w:cs="Times New Roman"/>
        </w:rPr>
        <w:t xml:space="preserve"> </w:t>
      </w:r>
      <w:proofErr w:type="spellStart"/>
      <w:r w:rsidRPr="007416A2">
        <w:rPr>
          <w:rFonts w:ascii="Times New Roman" w:eastAsia="Times New Roman" w:hAnsi="Times New Roman" w:cs="Times New Roman"/>
        </w:rPr>
        <w:t>Adebutu</w:t>
      </w:r>
      <w:proofErr w:type="spellEnd"/>
      <w:r w:rsidRPr="007416A2">
        <w:rPr>
          <w:rFonts w:ascii="Times New Roman" w:eastAsia="Times New Roman" w:hAnsi="Times New Roman" w:cs="Times New Roman"/>
        </w:rPr>
        <w:t xml:space="preserve"> &amp; Anor v. Dapo Abiodun &amp; </w:t>
      </w:r>
      <w:proofErr w:type="spellStart"/>
      <w:r w:rsidRPr="007416A2">
        <w:rPr>
          <w:rFonts w:ascii="Times New Roman" w:eastAsia="Times New Roman" w:hAnsi="Times New Roman" w:cs="Times New Roman"/>
        </w:rPr>
        <w:t>Ors</w:t>
      </w:r>
      <w:proofErr w:type="spellEnd"/>
      <w:r w:rsidRPr="007416A2">
        <w:rPr>
          <w:rFonts w:ascii="Times New Roman" w:eastAsia="Times New Roman" w:hAnsi="Times New Roman" w:cs="Times New Roman"/>
        </w:rPr>
        <w:t xml:space="preserve"> (Appeal No: CA/IB/EP/GOV/OG/03/2023).</w:t>
      </w:r>
    </w:p>
    <w:p w14:paraId="38C3B219"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Parallel Criminal Prosecution:</w:t>
      </w:r>
      <w:r w:rsidRPr="007416A2">
        <w:rPr>
          <w:rFonts w:ascii="Times New Roman" w:eastAsia="Times New Roman" w:hAnsi="Times New Roman" w:cs="Times New Roman"/>
        </w:rPr>
        <w:t xml:space="preserve"> Federal Republic of Nigeria v. </w:t>
      </w:r>
      <w:proofErr w:type="spellStart"/>
      <w:r w:rsidRPr="007416A2">
        <w:rPr>
          <w:rFonts w:ascii="Times New Roman" w:eastAsia="Times New Roman" w:hAnsi="Times New Roman" w:cs="Times New Roman"/>
        </w:rPr>
        <w:t>Adebutu</w:t>
      </w:r>
      <w:proofErr w:type="spellEnd"/>
      <w:r w:rsidRPr="007416A2">
        <w:rPr>
          <w:rFonts w:ascii="Times New Roman" w:eastAsia="Times New Roman" w:hAnsi="Times New Roman" w:cs="Times New Roman"/>
        </w:rPr>
        <w:t xml:space="preserve"> &amp; </w:t>
      </w:r>
      <w:proofErr w:type="spellStart"/>
      <w:r w:rsidRPr="007416A2">
        <w:rPr>
          <w:rFonts w:ascii="Times New Roman" w:eastAsia="Times New Roman" w:hAnsi="Times New Roman" w:cs="Times New Roman"/>
        </w:rPr>
        <w:t>Ors</w:t>
      </w:r>
      <w:proofErr w:type="spellEnd"/>
      <w:r w:rsidRPr="007416A2">
        <w:rPr>
          <w:rFonts w:ascii="Times New Roman" w:eastAsia="Times New Roman" w:hAnsi="Times New Roman" w:cs="Times New Roman"/>
        </w:rPr>
        <w:t xml:space="preserve"> (Suit No: AB/10c/2023), High Court of Ogun State.</w:t>
      </w:r>
    </w:p>
    <w:p w14:paraId="46943762"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Regulatory Harmonization Framework:</w:t>
      </w:r>
      <w:r w:rsidRPr="007416A2">
        <w:rPr>
          <w:rFonts w:ascii="Times New Roman" w:eastAsia="Times New Roman" w:hAnsi="Times New Roman" w:cs="Times New Roman"/>
        </w:rPr>
        <w:t xml:space="preserve"> Presidential Executive Order on Virtual Assets Coordination, 2026; Investments and Securities Act (ISA) 2025.</w:t>
      </w:r>
    </w:p>
    <w:p w14:paraId="3F1D7D53" w14:textId="77777777" w:rsidR="007416A2" w:rsidRPr="007416A2" w:rsidRDefault="007416A2" w:rsidP="00D33330">
      <w:pPr>
        <w:numPr>
          <w:ilvl w:val="0"/>
          <w:numId w:val="24"/>
        </w:numPr>
        <w:spacing w:before="100" w:beforeAutospacing="1" w:after="100" w:afterAutospacing="1" w:line="240" w:lineRule="auto"/>
        <w:jc w:val="both"/>
        <w:rPr>
          <w:rFonts w:ascii="Times New Roman" w:eastAsia="Times New Roman" w:hAnsi="Times New Roman" w:cs="Times New Roman"/>
        </w:rPr>
      </w:pPr>
      <w:r w:rsidRPr="007416A2">
        <w:rPr>
          <w:rFonts w:ascii="Times New Roman" w:eastAsia="Times New Roman" w:hAnsi="Times New Roman" w:cs="Times New Roman"/>
          <w:b/>
          <w:bCs/>
        </w:rPr>
        <w:t>Digital Asset Implementation:</w:t>
      </w:r>
      <w:r w:rsidRPr="007416A2">
        <w:rPr>
          <w:rFonts w:ascii="Times New Roman" w:eastAsia="Times New Roman" w:hAnsi="Times New Roman" w:cs="Times New Roman"/>
        </w:rPr>
        <w:t xml:space="preserve"> SEC Rules on Digital and Virtual Asset Operations, Custody, and Markets (August 2026). [1, 2, 3]</w:t>
      </w:r>
    </w:p>
    <w:p w14:paraId="696BC64F" w14:textId="77777777" w:rsidR="00AD2434" w:rsidRPr="00D33330" w:rsidRDefault="00AD2434" w:rsidP="00D33330">
      <w:pPr>
        <w:jc w:val="both"/>
        <w:rPr>
          <w:sz w:val="20"/>
          <w:szCs w:val="20"/>
        </w:rPr>
      </w:pPr>
    </w:p>
    <w:sectPr w:rsidR="00AD2434" w:rsidRPr="00D33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1AA"/>
    <w:multiLevelType w:val="multilevel"/>
    <w:tmpl w:val="1DC44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33187"/>
    <w:multiLevelType w:val="multilevel"/>
    <w:tmpl w:val="91166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A65DE"/>
    <w:multiLevelType w:val="multilevel"/>
    <w:tmpl w:val="6BD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A7855"/>
    <w:multiLevelType w:val="multilevel"/>
    <w:tmpl w:val="629A0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23F2F"/>
    <w:multiLevelType w:val="multilevel"/>
    <w:tmpl w:val="3EF2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D756B"/>
    <w:multiLevelType w:val="multilevel"/>
    <w:tmpl w:val="BC36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5111D"/>
    <w:multiLevelType w:val="multilevel"/>
    <w:tmpl w:val="7B54E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667D"/>
    <w:multiLevelType w:val="multilevel"/>
    <w:tmpl w:val="1844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36CE2"/>
    <w:multiLevelType w:val="multilevel"/>
    <w:tmpl w:val="CDD88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9B37F0"/>
    <w:multiLevelType w:val="multilevel"/>
    <w:tmpl w:val="4C7E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113A4"/>
    <w:multiLevelType w:val="multilevel"/>
    <w:tmpl w:val="52AE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141471"/>
    <w:multiLevelType w:val="multilevel"/>
    <w:tmpl w:val="A9DA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22FB1"/>
    <w:multiLevelType w:val="multilevel"/>
    <w:tmpl w:val="893C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00715F"/>
    <w:multiLevelType w:val="multilevel"/>
    <w:tmpl w:val="15F4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66139"/>
    <w:multiLevelType w:val="multilevel"/>
    <w:tmpl w:val="1386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104892"/>
    <w:multiLevelType w:val="multilevel"/>
    <w:tmpl w:val="B7AA7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8C5F39"/>
    <w:multiLevelType w:val="multilevel"/>
    <w:tmpl w:val="95AA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BF0CC3"/>
    <w:multiLevelType w:val="multilevel"/>
    <w:tmpl w:val="7FAC4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806F3D"/>
    <w:multiLevelType w:val="multilevel"/>
    <w:tmpl w:val="ACBA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917AD1"/>
    <w:multiLevelType w:val="multilevel"/>
    <w:tmpl w:val="C99E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361B2C"/>
    <w:multiLevelType w:val="multilevel"/>
    <w:tmpl w:val="38CA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F1B2D"/>
    <w:multiLevelType w:val="multilevel"/>
    <w:tmpl w:val="A0043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16133E"/>
    <w:multiLevelType w:val="multilevel"/>
    <w:tmpl w:val="D6C2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7F254A"/>
    <w:multiLevelType w:val="multilevel"/>
    <w:tmpl w:val="5E46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7E4DC5"/>
    <w:multiLevelType w:val="multilevel"/>
    <w:tmpl w:val="A284455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30767255">
    <w:abstractNumId w:val="20"/>
  </w:num>
  <w:num w:numId="2" w16cid:durableId="82067778">
    <w:abstractNumId w:val="19"/>
  </w:num>
  <w:num w:numId="3" w16cid:durableId="801463459">
    <w:abstractNumId w:val="5"/>
  </w:num>
  <w:num w:numId="4" w16cid:durableId="422189330">
    <w:abstractNumId w:val="11"/>
  </w:num>
  <w:num w:numId="5" w16cid:durableId="2070418706">
    <w:abstractNumId w:val="12"/>
  </w:num>
  <w:num w:numId="6" w16cid:durableId="251280787">
    <w:abstractNumId w:val="13"/>
  </w:num>
  <w:num w:numId="7" w16cid:durableId="1850948667">
    <w:abstractNumId w:val="14"/>
  </w:num>
  <w:num w:numId="8" w16cid:durableId="1850682776">
    <w:abstractNumId w:val="18"/>
  </w:num>
  <w:num w:numId="9" w16cid:durableId="1708529758">
    <w:abstractNumId w:val="10"/>
  </w:num>
  <w:num w:numId="10" w16cid:durableId="1962154220">
    <w:abstractNumId w:val="16"/>
  </w:num>
  <w:num w:numId="11" w16cid:durableId="1492989025">
    <w:abstractNumId w:val="15"/>
  </w:num>
  <w:num w:numId="12" w16cid:durableId="895698356">
    <w:abstractNumId w:val="0"/>
  </w:num>
  <w:num w:numId="13" w16cid:durableId="1812282058">
    <w:abstractNumId w:val="6"/>
  </w:num>
  <w:num w:numId="14" w16cid:durableId="110514210">
    <w:abstractNumId w:val="23"/>
  </w:num>
  <w:num w:numId="15" w16cid:durableId="1540434988">
    <w:abstractNumId w:val="22"/>
  </w:num>
  <w:num w:numId="16" w16cid:durableId="1254825685">
    <w:abstractNumId w:val="8"/>
  </w:num>
  <w:num w:numId="17" w16cid:durableId="160125115">
    <w:abstractNumId w:val="3"/>
  </w:num>
  <w:num w:numId="18" w16cid:durableId="1305547133">
    <w:abstractNumId w:val="9"/>
  </w:num>
  <w:num w:numId="19" w16cid:durableId="755513946">
    <w:abstractNumId w:val="1"/>
  </w:num>
  <w:num w:numId="20" w16cid:durableId="1632244302">
    <w:abstractNumId w:val="17"/>
  </w:num>
  <w:num w:numId="21" w16cid:durableId="1814761135">
    <w:abstractNumId w:val="2"/>
  </w:num>
  <w:num w:numId="22" w16cid:durableId="97214833">
    <w:abstractNumId w:val="7"/>
  </w:num>
  <w:num w:numId="23" w16cid:durableId="1760132361">
    <w:abstractNumId w:val="4"/>
  </w:num>
  <w:num w:numId="24" w16cid:durableId="540168661">
    <w:abstractNumId w:val="21"/>
  </w:num>
  <w:num w:numId="25" w16cid:durableId="18799001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6A2"/>
    <w:rsid w:val="001676BC"/>
    <w:rsid w:val="001A1944"/>
    <w:rsid w:val="007416A2"/>
    <w:rsid w:val="00AD2434"/>
    <w:rsid w:val="00D33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AFDA9"/>
  <w15:chartTrackingRefBased/>
  <w15:docId w15:val="{9EDF817B-D109-439E-A55D-B96D469C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3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5137">
      <w:bodyDiv w:val="1"/>
      <w:marLeft w:val="0"/>
      <w:marRight w:val="0"/>
      <w:marTop w:val="0"/>
      <w:marBottom w:val="0"/>
      <w:divBdr>
        <w:top w:val="none" w:sz="0" w:space="0" w:color="auto"/>
        <w:left w:val="none" w:sz="0" w:space="0" w:color="auto"/>
        <w:bottom w:val="none" w:sz="0" w:space="0" w:color="auto"/>
        <w:right w:val="none" w:sz="0" w:space="0" w:color="auto"/>
      </w:divBdr>
    </w:div>
    <w:div w:id="45626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2072</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Charles</dc:creator>
  <cp:keywords/>
  <dc:description/>
  <cp:lastModifiedBy>Stella Charles</cp:lastModifiedBy>
  <cp:revision>2</cp:revision>
  <dcterms:created xsi:type="dcterms:W3CDTF">2026-10-13T16:49:00Z</dcterms:created>
  <dcterms:modified xsi:type="dcterms:W3CDTF">2026-10-13T16:49:00Z</dcterms:modified>
</cp:coreProperties>
</file>